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8165B7" w:rsidRDefault="00F92268" w:rsidP="00850792">
      <w:pPr>
        <w:pStyle w:val="BodyText"/>
        <w:rPr>
          <w:sz w:val="6"/>
          <w:szCs w:val="6"/>
        </w:rPr>
      </w:pPr>
      <w:r w:rsidRPr="008165B7">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8165B7"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8165B7" w:rsidRDefault="00F92268" w:rsidP="00F246C7">
            <w:pPr>
              <w:pStyle w:val="RefTableData"/>
            </w:pPr>
            <w:r w:rsidRPr="008165B7">
              <w:t>Reference number(s)</w:t>
            </w:r>
          </w:p>
        </w:tc>
      </w:tr>
      <w:tr w:rsidR="00F92268" w:rsidRPr="008165B7"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3D625190" w:rsidR="00F92268" w:rsidRPr="008165B7" w:rsidRDefault="00872251" w:rsidP="00F246C7">
            <w:pPr>
              <w:pStyle w:val="RefTableHeader"/>
            </w:pPr>
            <w:r w:rsidRPr="008165B7">
              <w:t>1679-A</w:t>
            </w:r>
          </w:p>
        </w:tc>
      </w:tr>
    </w:tbl>
    <w:p w14:paraId="74FBA5B4" w14:textId="77777777" w:rsidR="00051356" w:rsidRPr="008165B7" w:rsidRDefault="00051356" w:rsidP="00A672B3">
      <w:pPr>
        <w:pStyle w:val="BodyText"/>
        <w:rPr>
          <w:b/>
          <w:bCs/>
          <w:sz w:val="16"/>
          <w:szCs w:val="16"/>
        </w:rPr>
        <w:sectPr w:rsidR="00051356" w:rsidRPr="008165B7" w:rsidSect="000053AC">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99"/>
        </w:sectPr>
      </w:pPr>
    </w:p>
    <w:p w14:paraId="3F4DE49F" w14:textId="2A5C9941" w:rsidR="004B15BB" w:rsidRPr="008165B7" w:rsidRDefault="00872251" w:rsidP="007E5C16">
      <w:pPr>
        <w:pStyle w:val="Heading1"/>
      </w:pPr>
      <w:r w:rsidRPr="008165B7">
        <w:t>Specialty Guideline Management</w:t>
      </w:r>
      <w:r w:rsidR="008C54D9" w:rsidRPr="008165B7">
        <w:br/>
      </w:r>
      <w:r w:rsidRPr="008165B7">
        <w:t>Cyramza</w:t>
      </w:r>
    </w:p>
    <w:p w14:paraId="78861C92" w14:textId="131FE7B7" w:rsidR="00203468" w:rsidRPr="008165B7" w:rsidRDefault="00C64534" w:rsidP="008E0F0D">
      <w:pPr>
        <w:pStyle w:val="Heading2"/>
      </w:pPr>
      <w:r w:rsidRPr="008165B7">
        <w:t xml:space="preserve">Products Referenced by this </w:t>
      </w:r>
      <w:r w:rsidR="00501602" w:rsidRPr="008165B7">
        <w:t>Document</w:t>
      </w:r>
    </w:p>
    <w:p w14:paraId="5455152B" w14:textId="4BD05924" w:rsidR="008E0F0D" w:rsidRPr="008165B7" w:rsidRDefault="00D82D85" w:rsidP="008B73E8">
      <w:pPr>
        <w:pStyle w:val="BodyText"/>
      </w:pPr>
      <w:r w:rsidRPr="008165B7">
        <w:t xml:space="preserve">Drugs that are listed in the </w:t>
      </w:r>
      <w:r w:rsidR="000315F1" w:rsidRPr="008165B7">
        <w:t>following table</w:t>
      </w:r>
      <w:r w:rsidRPr="008165B7">
        <w:t xml:space="preserve"> include both brand and generic and all dosage forms and strengths unless otherwise stated. </w:t>
      </w:r>
      <w:r w:rsidR="00521582">
        <w:t>Over-</w:t>
      </w:r>
      <w:r w:rsidR="00114477">
        <w:t>the</w:t>
      </w:r>
      <w:r w:rsidR="00521582">
        <w:t xml:space="preserve">-Counter </w:t>
      </w:r>
      <w:r w:rsidR="00177E46">
        <w:t>(</w:t>
      </w:r>
      <w:r w:rsidRPr="008165B7">
        <w:t>OTC</w:t>
      </w:r>
      <w:r w:rsidR="00177E46">
        <w:t>)</w:t>
      </w:r>
      <w:r w:rsidRPr="008165B7">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8165B7" w14:paraId="158421F8" w14:textId="77777777" w:rsidTr="00872251">
        <w:trPr>
          <w:cantSplit/>
          <w:trHeight w:val="288"/>
          <w:tblHeader/>
        </w:trPr>
        <w:tc>
          <w:tcPr>
            <w:tcW w:w="5265" w:type="dxa"/>
            <w:vAlign w:val="center"/>
          </w:tcPr>
          <w:p w14:paraId="2A27354A" w14:textId="1390179E" w:rsidR="00252CE1" w:rsidRPr="008165B7" w:rsidRDefault="00252CE1" w:rsidP="00AA1E6A">
            <w:pPr>
              <w:pStyle w:val="TableHeader"/>
            </w:pPr>
            <w:bookmarkStart w:id="0" w:name="_Hlk159603270"/>
            <w:r w:rsidRPr="008165B7">
              <w:t>Brand Name</w:t>
            </w:r>
          </w:p>
        </w:tc>
        <w:tc>
          <w:tcPr>
            <w:tcW w:w="5595" w:type="dxa"/>
            <w:vAlign w:val="center"/>
          </w:tcPr>
          <w:p w14:paraId="3D342BE1" w14:textId="75F11EF1" w:rsidR="00252CE1" w:rsidRPr="008165B7" w:rsidRDefault="00252CE1" w:rsidP="00AA1E6A">
            <w:pPr>
              <w:pStyle w:val="TableHeader"/>
            </w:pPr>
            <w:r w:rsidRPr="008165B7">
              <w:t>Generic Name</w:t>
            </w:r>
          </w:p>
        </w:tc>
      </w:tr>
      <w:tr w:rsidR="00585FFF" w:rsidRPr="008165B7" w14:paraId="2AD5C02D" w14:textId="77777777" w:rsidTr="00872251">
        <w:trPr>
          <w:cantSplit/>
        </w:trPr>
        <w:tc>
          <w:tcPr>
            <w:tcW w:w="5265" w:type="dxa"/>
          </w:tcPr>
          <w:p w14:paraId="2D8FA8E3" w14:textId="1ABB3120" w:rsidR="00585FFF" w:rsidRPr="008165B7" w:rsidRDefault="00872251" w:rsidP="00E82ABA">
            <w:pPr>
              <w:pStyle w:val="TableDataUnpadded"/>
            </w:pPr>
            <w:r w:rsidRPr="008165B7">
              <w:t>Cyramza</w:t>
            </w:r>
          </w:p>
        </w:tc>
        <w:tc>
          <w:tcPr>
            <w:tcW w:w="5595" w:type="dxa"/>
          </w:tcPr>
          <w:p w14:paraId="7E26A004" w14:textId="1FABA7F2" w:rsidR="00585FFF" w:rsidRPr="008165B7" w:rsidRDefault="00872251" w:rsidP="00E82ABA">
            <w:pPr>
              <w:pStyle w:val="TableDataUnpadded"/>
            </w:pPr>
            <w:r w:rsidRPr="008165B7">
              <w:t>ramucirumab</w:t>
            </w:r>
          </w:p>
        </w:tc>
      </w:tr>
    </w:tbl>
    <w:bookmarkEnd w:id="0"/>
    <w:p w14:paraId="14CE6108" w14:textId="12E0E9A7" w:rsidR="00FC1AAD" w:rsidRPr="008165B7" w:rsidRDefault="00ED052F" w:rsidP="00FF66BF">
      <w:pPr>
        <w:pStyle w:val="Heading2"/>
        <w:tabs>
          <w:tab w:val="left" w:pos="9195"/>
        </w:tabs>
      </w:pPr>
      <w:r w:rsidRPr="008165B7">
        <w:t>Indications</w:t>
      </w:r>
    </w:p>
    <w:p w14:paraId="4815B392" w14:textId="48D25E9A" w:rsidR="00872251" w:rsidRPr="008165B7" w:rsidRDefault="00872251" w:rsidP="008165B7">
      <w:pPr>
        <w:pStyle w:val="BodyText"/>
      </w:pPr>
      <w:r w:rsidRPr="008165B7">
        <w:t>The indications below including FDA-approved indications and compendial uses are considered a covered benefit provided that all the approval criteria are met and the member has no exclusions to the prescribed therapy</w:t>
      </w:r>
      <w:r w:rsidR="00541E3F">
        <w:t>.</w:t>
      </w:r>
    </w:p>
    <w:p w14:paraId="134B5687" w14:textId="0D9FC999" w:rsidR="00ED052F" w:rsidRPr="008165B7" w:rsidRDefault="00ED052F" w:rsidP="00ED052F">
      <w:pPr>
        <w:pStyle w:val="Heading3"/>
        <w:keepNext w:val="0"/>
      </w:pPr>
      <w:r w:rsidRPr="008165B7">
        <w:t>FDA-approved Indications</w:t>
      </w:r>
      <w:r w:rsidR="008165B7" w:rsidRPr="008165B7">
        <w:rPr>
          <w:vertAlign w:val="superscript"/>
        </w:rPr>
        <w:t>1</w:t>
      </w:r>
    </w:p>
    <w:p w14:paraId="2E371469" w14:textId="77777777" w:rsidR="00872251" w:rsidRPr="008165B7" w:rsidRDefault="00872251" w:rsidP="008165B7">
      <w:pPr>
        <w:pStyle w:val="BodyText"/>
        <w:numPr>
          <w:ilvl w:val="0"/>
          <w:numId w:val="35"/>
        </w:numPr>
        <w:spacing w:after="60"/>
        <w:rPr>
          <w:color w:val="000000"/>
        </w:rPr>
      </w:pPr>
      <w:bookmarkStart w:id="1" w:name="_Hlk163470841"/>
      <w:r w:rsidRPr="008165B7">
        <w:rPr>
          <w:color w:val="000000"/>
        </w:rPr>
        <w:t>Gastric Cancer: Cyramza</w:t>
      </w:r>
      <w:r w:rsidRPr="008165B7">
        <w:rPr>
          <w:color w:val="000000"/>
          <w:position w:val="10"/>
          <w:vertAlign w:val="superscript"/>
        </w:rPr>
        <w:t xml:space="preserve"> </w:t>
      </w:r>
      <w:r w:rsidRPr="008165B7">
        <w:rPr>
          <w:color w:val="000000"/>
        </w:rPr>
        <w:t>as a single agent, or in combination with paclitaxel, is indicated for the treatment of patients with advanced or metastatic, gastric or gastro-esophageal junction (GEJ) adenocarcinoma with disease progression on or after prior fluoropyrimidine-or platinum-containing chemotherapy.</w:t>
      </w:r>
    </w:p>
    <w:p w14:paraId="1216CE00" w14:textId="172924EE" w:rsidR="00872251" w:rsidRPr="008165B7" w:rsidRDefault="00872251" w:rsidP="008165B7">
      <w:pPr>
        <w:pStyle w:val="BodyText"/>
        <w:numPr>
          <w:ilvl w:val="0"/>
          <w:numId w:val="35"/>
        </w:numPr>
        <w:spacing w:after="60"/>
        <w:rPr>
          <w:color w:val="000000"/>
        </w:rPr>
      </w:pPr>
      <w:r w:rsidRPr="008165B7">
        <w:rPr>
          <w:color w:val="000000"/>
        </w:rPr>
        <w:t>Non-Small Cell Lung Cancer (NSCLC</w:t>
      </w:r>
      <w:bookmarkEnd w:id="1"/>
      <w:r w:rsidRPr="008165B7">
        <w:rPr>
          <w:color w:val="000000"/>
        </w:rPr>
        <w:t>):</w:t>
      </w:r>
    </w:p>
    <w:p w14:paraId="0FE97EEA" w14:textId="77777777" w:rsidR="00872251" w:rsidRPr="008165B7" w:rsidRDefault="00872251" w:rsidP="008165B7">
      <w:pPr>
        <w:pStyle w:val="ListParagraph"/>
        <w:numPr>
          <w:ilvl w:val="1"/>
          <w:numId w:val="29"/>
        </w:numPr>
        <w:ind w:left="1440"/>
        <w:contextualSpacing w:val="0"/>
        <w:rPr>
          <w:color w:val="000000"/>
        </w:rPr>
      </w:pPr>
      <w:r w:rsidRPr="008165B7">
        <w:rPr>
          <w:color w:val="000000"/>
        </w:rPr>
        <w:t>Cyramza, in combination with docetaxel, is indicated for the treatment of patients with metastatic NSCLC with disease progression on or after platinum-based chemotherapy. Patients with epidermal growth factor receptor (EGFR) or anaplastic lymphoma kinase (ALK) genomic tumor aberrations should have disease progression on FDA-approved therapy for these aberrations prior to receiving Cyramza.</w:t>
      </w:r>
    </w:p>
    <w:p w14:paraId="0BB6913B" w14:textId="0431E48C" w:rsidR="00872251" w:rsidRPr="008165B7" w:rsidRDefault="00872251" w:rsidP="008165B7">
      <w:pPr>
        <w:pStyle w:val="ListParagraph"/>
        <w:numPr>
          <w:ilvl w:val="1"/>
          <w:numId w:val="29"/>
        </w:numPr>
        <w:ind w:left="1440"/>
        <w:rPr>
          <w:color w:val="000000"/>
        </w:rPr>
      </w:pPr>
      <w:r w:rsidRPr="008165B7">
        <w:rPr>
          <w:color w:val="000000"/>
        </w:rPr>
        <w:t>Cyramza, in combination with erlotinib, is indicated for the first-line treatment of patients with metastatic NSCLC whose tumors have epidermal growth factor receptor (EGFR) exon 19 deletions or exon 21 (L858R) substitution mutations.</w:t>
      </w:r>
    </w:p>
    <w:p w14:paraId="75EE3D14" w14:textId="77777777" w:rsidR="00872251" w:rsidRPr="008165B7" w:rsidRDefault="00872251" w:rsidP="003F79EA">
      <w:pPr>
        <w:pStyle w:val="BodyText"/>
        <w:numPr>
          <w:ilvl w:val="0"/>
          <w:numId w:val="35"/>
        </w:numPr>
        <w:spacing w:after="60"/>
        <w:rPr>
          <w:color w:val="000000"/>
        </w:rPr>
      </w:pPr>
      <w:r w:rsidRPr="008165B7">
        <w:rPr>
          <w:color w:val="000000"/>
        </w:rPr>
        <w:lastRenderedPageBreak/>
        <w:t>Colorectal Cancer: Cyramza, in combination with FOLFIRI (irinotecan, folinic acid, and fluorouracil), is indicated for the treatment of patients with metastatic colorectal cancer (mCRC) with disease progression on or after prior therapy with bevacizumab, oxaliplatin, and a fluoropyrimidine.</w:t>
      </w:r>
    </w:p>
    <w:p w14:paraId="4FAA0E64" w14:textId="3FB4B0AF" w:rsidR="00872251" w:rsidRPr="008165B7" w:rsidRDefault="00872251" w:rsidP="008165B7">
      <w:pPr>
        <w:pStyle w:val="BodyText"/>
        <w:numPr>
          <w:ilvl w:val="0"/>
          <w:numId w:val="35"/>
        </w:numPr>
        <w:rPr>
          <w:color w:val="000000"/>
        </w:rPr>
      </w:pPr>
      <w:r w:rsidRPr="008165B7">
        <w:rPr>
          <w:color w:val="000000"/>
        </w:rPr>
        <w:t xml:space="preserve">Hepatocellular Carcinoma: Cyramza as a single agent, is indicated for the treatment of patients with </w:t>
      </w:r>
      <w:r w:rsidRPr="008165B7">
        <w:t xml:space="preserve">hepatocellular carcinoma (HCC) who have an alpha fetoprotein (AFP) of </w:t>
      </w:r>
      <w:r w:rsidR="00CB5307" w:rsidRPr="00CB5307">
        <w:t>greater than or equal to</w:t>
      </w:r>
      <w:r w:rsidR="00CB5307">
        <w:rPr>
          <w:rFonts w:ascii="Arial" w:hAnsi="Arial"/>
        </w:rPr>
        <w:t xml:space="preserve"> </w:t>
      </w:r>
      <w:r w:rsidRPr="008165B7">
        <w:t>400 ng/mL and have been treated with sorafenib.</w:t>
      </w:r>
    </w:p>
    <w:p w14:paraId="45D3C2A0" w14:textId="46A1C309" w:rsidR="00C6731C" w:rsidRPr="008165B7" w:rsidRDefault="009F2EF1" w:rsidP="008165B7">
      <w:pPr>
        <w:pStyle w:val="Heading3"/>
        <w:keepNext w:val="0"/>
      </w:pPr>
      <w:r w:rsidRPr="008165B7">
        <w:t>Compendial Uses</w:t>
      </w:r>
      <w:r w:rsidR="008165B7" w:rsidRPr="008165B7">
        <w:rPr>
          <w:vertAlign w:val="superscript"/>
        </w:rPr>
        <w:t>2,3</w:t>
      </w:r>
    </w:p>
    <w:p w14:paraId="5EA9B519" w14:textId="77777777" w:rsidR="00C6731C" w:rsidRPr="008165B7" w:rsidRDefault="00C6731C" w:rsidP="00C6731C">
      <w:pPr>
        <w:pStyle w:val="BodyText"/>
        <w:numPr>
          <w:ilvl w:val="0"/>
          <w:numId w:val="30"/>
        </w:numPr>
        <w:spacing w:after="60"/>
        <w:ind w:left="1080" w:right="374"/>
        <w:rPr>
          <w:color w:val="222222"/>
        </w:rPr>
      </w:pPr>
      <w:r w:rsidRPr="008165B7">
        <w:rPr>
          <w:color w:val="222222"/>
        </w:rPr>
        <w:t>Esophageal adenocarcinoma</w:t>
      </w:r>
    </w:p>
    <w:p w14:paraId="2F957100" w14:textId="77777777" w:rsidR="00C6731C" w:rsidRPr="008165B7" w:rsidRDefault="00C6731C" w:rsidP="00C6731C">
      <w:pPr>
        <w:pStyle w:val="BodyText"/>
        <w:numPr>
          <w:ilvl w:val="0"/>
          <w:numId w:val="30"/>
        </w:numPr>
        <w:spacing w:after="60"/>
        <w:ind w:left="1080" w:right="374"/>
        <w:rPr>
          <w:color w:val="222222"/>
        </w:rPr>
      </w:pPr>
      <w:r w:rsidRPr="008165B7">
        <w:rPr>
          <w:color w:val="222222"/>
        </w:rPr>
        <w:t>Colorectal cancer, advanced, including anal adenocarcinoma and appendiceal adenocarcinoma</w:t>
      </w:r>
    </w:p>
    <w:p w14:paraId="131CE80A" w14:textId="77777777" w:rsidR="00C6731C" w:rsidRPr="008165B7" w:rsidRDefault="00C6731C" w:rsidP="00C6731C">
      <w:pPr>
        <w:pStyle w:val="BodyText"/>
        <w:numPr>
          <w:ilvl w:val="0"/>
          <w:numId w:val="30"/>
        </w:numPr>
        <w:spacing w:after="60"/>
        <w:ind w:left="1080" w:right="374"/>
        <w:rPr>
          <w:color w:val="222222"/>
        </w:rPr>
      </w:pPr>
      <w:r w:rsidRPr="008165B7">
        <w:rPr>
          <w:color w:val="222222"/>
        </w:rPr>
        <w:t>NSCLC, EGFR mutation positive, recurrent, advanced</w:t>
      </w:r>
    </w:p>
    <w:p w14:paraId="56FE95B5" w14:textId="77777777" w:rsidR="00C6731C" w:rsidRDefault="00C6731C" w:rsidP="000846F3">
      <w:pPr>
        <w:pStyle w:val="BodyText"/>
        <w:numPr>
          <w:ilvl w:val="0"/>
          <w:numId w:val="30"/>
        </w:numPr>
        <w:spacing w:after="60"/>
        <w:ind w:left="1080" w:right="374"/>
        <w:rPr>
          <w:color w:val="222222"/>
        </w:rPr>
      </w:pPr>
      <w:r w:rsidRPr="008165B7">
        <w:rPr>
          <w:color w:val="222222"/>
        </w:rPr>
        <w:t>Mesothelioma</w:t>
      </w:r>
    </w:p>
    <w:p w14:paraId="4A87DAA0" w14:textId="1443AFA1" w:rsidR="008F6F5D" w:rsidRPr="008165B7" w:rsidRDefault="008F6F5D" w:rsidP="000846F3">
      <w:pPr>
        <w:pStyle w:val="BodyText"/>
        <w:numPr>
          <w:ilvl w:val="0"/>
          <w:numId w:val="30"/>
        </w:numPr>
        <w:spacing w:after="60"/>
        <w:ind w:left="1080" w:right="374"/>
        <w:rPr>
          <w:color w:val="222222"/>
        </w:rPr>
      </w:pPr>
      <w:r>
        <w:rPr>
          <w:color w:val="222222"/>
        </w:rPr>
        <w:t>Thymic carcinoma</w:t>
      </w:r>
    </w:p>
    <w:p w14:paraId="0D5A9DD5" w14:textId="134816FE" w:rsidR="009A5649" w:rsidRPr="008165B7" w:rsidRDefault="009A5649" w:rsidP="008165B7">
      <w:pPr>
        <w:pStyle w:val="BodyText"/>
        <w:rPr>
          <w:rFonts w:eastAsia="Arial"/>
        </w:rPr>
      </w:pPr>
      <w:r w:rsidRPr="008165B7">
        <w:t>Al</w:t>
      </w:r>
      <w:r w:rsidR="00C6731C" w:rsidRPr="008165B7">
        <w:t>l other indications are considered experimental/investigational and not medically necessary</w:t>
      </w:r>
      <w:r w:rsidRPr="008165B7">
        <w:rPr>
          <w:rFonts w:eastAsia="Arial"/>
        </w:rPr>
        <w:t>.</w:t>
      </w:r>
    </w:p>
    <w:p w14:paraId="36381B6D" w14:textId="0C7A4FA9" w:rsidR="000D2496" w:rsidRPr="008165B7" w:rsidRDefault="000D2496" w:rsidP="000D2496">
      <w:pPr>
        <w:pStyle w:val="Heading2"/>
      </w:pPr>
      <w:r w:rsidRPr="008165B7">
        <w:t>Documentation</w:t>
      </w:r>
    </w:p>
    <w:p w14:paraId="2180ED6E" w14:textId="72F1E90B" w:rsidR="000D2496" w:rsidRPr="008165B7" w:rsidRDefault="003E43CD" w:rsidP="008165B7">
      <w:pPr>
        <w:pStyle w:val="BodyText"/>
      </w:pPr>
      <w:r w:rsidRPr="008165B7">
        <w:t>Submission of the following information is necessary to initiate the prior authorization review: EGFR mutation testing results and alpha fetoprotein (AFP) level results (where applicable).</w:t>
      </w:r>
    </w:p>
    <w:p w14:paraId="4A5B15F8" w14:textId="4FA6B7EF" w:rsidR="00006174" w:rsidRPr="008165B7" w:rsidRDefault="008165B7" w:rsidP="00006174">
      <w:pPr>
        <w:pStyle w:val="Heading2"/>
      </w:pPr>
      <w:r w:rsidRPr="008165B7">
        <w:t>Coverage Criteria</w:t>
      </w:r>
    </w:p>
    <w:p w14:paraId="1BC3904A" w14:textId="77777777" w:rsidR="003E43CD" w:rsidRPr="008165B7" w:rsidRDefault="003E43CD" w:rsidP="003E43CD">
      <w:pPr>
        <w:pStyle w:val="Heading3"/>
      </w:pPr>
      <w:r w:rsidRPr="008165B7">
        <w:t>Gastric, Gastro-esophageal Junction (GEJ), Esophagogastric Junction (EGJ), and Esophageal Adenocarcinoma</w:t>
      </w:r>
      <w:r w:rsidRPr="008165B7">
        <w:rPr>
          <w:vertAlign w:val="superscript"/>
        </w:rPr>
        <w:t>1,2</w:t>
      </w:r>
    </w:p>
    <w:p w14:paraId="1CD59C36" w14:textId="1C837F67" w:rsidR="003E43CD" w:rsidRPr="008165B7" w:rsidRDefault="003E43CD" w:rsidP="006D5071">
      <w:pPr>
        <w:pStyle w:val="BodyText"/>
      </w:pPr>
      <w:r w:rsidRPr="008165B7">
        <w:t>Authorization of 12 months may be granted for treatment of gastric, g</w:t>
      </w:r>
      <w:r w:rsidRPr="008165B7">
        <w:rPr>
          <w:color w:val="000000"/>
        </w:rPr>
        <w:t>astro-esophageal junction (</w:t>
      </w:r>
      <w:r w:rsidRPr="008165B7">
        <w:t>GEJ), esophagogastric junction (EGJ), and esophageal adenocarcinoma for members who are not surgical candidates or who have unresectable locally advanced, recurrent or metastatic disease, when used as subsequent therapy as a single agent, in combination with paclitaxel, or in combination with irinotecan with or without fluorouracil.</w:t>
      </w:r>
    </w:p>
    <w:p w14:paraId="49D685C7" w14:textId="77777777" w:rsidR="003E43CD" w:rsidRPr="008165B7" w:rsidRDefault="003E43CD" w:rsidP="003E43CD">
      <w:pPr>
        <w:pStyle w:val="Heading3"/>
      </w:pPr>
      <w:r w:rsidRPr="008165B7">
        <w:t>Non-Small Cell Lung Cancer (NSCLC)</w:t>
      </w:r>
      <w:r w:rsidRPr="008165B7">
        <w:rPr>
          <w:vertAlign w:val="superscript"/>
        </w:rPr>
        <w:t>1,2</w:t>
      </w:r>
    </w:p>
    <w:p w14:paraId="45D70C0B" w14:textId="77777777" w:rsidR="003E43CD" w:rsidRPr="008165B7" w:rsidRDefault="003E43CD" w:rsidP="006D5071">
      <w:pPr>
        <w:pStyle w:val="BodyText"/>
      </w:pPr>
      <w:r w:rsidRPr="008165B7">
        <w:t>Authorization of 12 months may be granted for treatment of recurrent, advanced or metastatic NSCLC when either of the following criteria is met:</w:t>
      </w:r>
    </w:p>
    <w:p w14:paraId="65F5D949" w14:textId="77777777" w:rsidR="003E43CD" w:rsidRPr="008165B7" w:rsidRDefault="003E43CD" w:rsidP="008165B7">
      <w:pPr>
        <w:pStyle w:val="ListParagraph"/>
        <w:numPr>
          <w:ilvl w:val="0"/>
          <w:numId w:val="33"/>
        </w:numPr>
        <w:spacing w:after="120"/>
        <w:ind w:left="720"/>
        <w:textAlignment w:val="auto"/>
      </w:pPr>
      <w:r w:rsidRPr="008165B7">
        <w:t>Used in combination with docetaxel as subsequent therapy.</w:t>
      </w:r>
    </w:p>
    <w:p w14:paraId="747B159D" w14:textId="2E3EA62E" w:rsidR="003E43CD" w:rsidRPr="008165B7" w:rsidRDefault="003E43CD" w:rsidP="008165B7">
      <w:pPr>
        <w:pStyle w:val="ListParagraph"/>
        <w:numPr>
          <w:ilvl w:val="0"/>
          <w:numId w:val="33"/>
        </w:numPr>
        <w:spacing w:after="120"/>
        <w:ind w:left="720"/>
        <w:textAlignment w:val="auto"/>
      </w:pPr>
      <w:r w:rsidRPr="008165B7">
        <w:t>Used in combination with erlotinib for EGFR exon 19 deletion or exon 21 (L858R) substitution mutation positive disease.</w:t>
      </w:r>
    </w:p>
    <w:p w14:paraId="30F90FE3" w14:textId="77777777" w:rsidR="003E43CD" w:rsidRPr="008165B7" w:rsidRDefault="003E43CD" w:rsidP="003E43CD">
      <w:pPr>
        <w:pStyle w:val="Heading3"/>
      </w:pPr>
      <w:r w:rsidRPr="008165B7">
        <w:t>Colorectal Cancer (CRC)</w:t>
      </w:r>
      <w:r w:rsidRPr="008165B7">
        <w:rPr>
          <w:vertAlign w:val="superscript"/>
        </w:rPr>
        <w:t>1-3</w:t>
      </w:r>
    </w:p>
    <w:p w14:paraId="734E7F0B" w14:textId="207A869E" w:rsidR="003E43CD" w:rsidRPr="008165B7" w:rsidRDefault="003E43CD" w:rsidP="006D5071">
      <w:pPr>
        <w:pStyle w:val="BodyText"/>
        <w:rPr>
          <w:sz w:val="20"/>
          <w:szCs w:val="20"/>
        </w:rPr>
      </w:pPr>
      <w:r w:rsidRPr="008165B7">
        <w:t xml:space="preserve">Authorization of 12 months may be granted for treatment of advanced or metastatic colorectal cancer, including anal adenocarcinoma and appendiceal adenocarcinoma, </w:t>
      </w:r>
      <w:r w:rsidRPr="008165B7">
        <w:rPr>
          <w:color w:val="000000"/>
        </w:rPr>
        <w:t>in combination with FOLFIRI (irinotecan, folinic acid, and 5-fluorouracil) or irinotecan</w:t>
      </w:r>
      <w:r w:rsidRPr="008165B7">
        <w:rPr>
          <w:color w:val="000000"/>
          <w:sz w:val="20"/>
          <w:szCs w:val="20"/>
        </w:rPr>
        <w:t>.</w:t>
      </w:r>
    </w:p>
    <w:p w14:paraId="256CAEAD" w14:textId="77777777" w:rsidR="003E43CD" w:rsidRPr="008165B7" w:rsidRDefault="003E43CD" w:rsidP="003E43CD">
      <w:pPr>
        <w:pStyle w:val="Heading3"/>
      </w:pPr>
      <w:r w:rsidRPr="008165B7">
        <w:t>Hepatocellular Carcinoma (HCC)</w:t>
      </w:r>
      <w:r w:rsidRPr="008165B7">
        <w:rPr>
          <w:vertAlign w:val="superscript"/>
        </w:rPr>
        <w:t>1,2</w:t>
      </w:r>
    </w:p>
    <w:p w14:paraId="277A9F7F" w14:textId="5EDE1BF5" w:rsidR="003E43CD" w:rsidRPr="00C270B4" w:rsidRDefault="003E43CD" w:rsidP="006D5071">
      <w:pPr>
        <w:pStyle w:val="BodyText"/>
      </w:pPr>
      <w:r w:rsidRPr="008165B7">
        <w:t>Authorization of 12 months may be granted for subsequent treatment of progressive hepatocellular carcinoma as a single agent in members who have an alpha fetoprotein (AFP) of greater than or equal to 400 ng/mL</w:t>
      </w:r>
      <w:r w:rsidRPr="00C270B4">
        <w:t>.</w:t>
      </w:r>
    </w:p>
    <w:p w14:paraId="52CFF494" w14:textId="178B322B" w:rsidR="003E43CD" w:rsidRPr="008165B7" w:rsidRDefault="003E43CD" w:rsidP="003E43CD">
      <w:pPr>
        <w:pStyle w:val="Heading3"/>
      </w:pPr>
      <w:r w:rsidRPr="008165B7">
        <w:t>Mesothelioma</w:t>
      </w:r>
      <w:r w:rsidRPr="008165B7">
        <w:rPr>
          <w:vertAlign w:val="superscript"/>
        </w:rPr>
        <w:t>2</w:t>
      </w:r>
    </w:p>
    <w:p w14:paraId="4312C251" w14:textId="52105C22" w:rsidR="003E43CD" w:rsidRDefault="003E43CD" w:rsidP="006D5071">
      <w:pPr>
        <w:pStyle w:val="BodyText"/>
      </w:pPr>
      <w:r w:rsidRPr="008165B7">
        <w:t>Authorization of 12 months may be granted for the subsequent treatment of pleural mesothelioma, pericardial mesothelioma, or tunica vaginalis testis mesothelioma when used in combination with gemcitabine.</w:t>
      </w:r>
    </w:p>
    <w:p w14:paraId="2478A337" w14:textId="45C80547" w:rsidR="008F6F5D" w:rsidRPr="008165B7" w:rsidRDefault="008F6F5D" w:rsidP="008F6F5D">
      <w:pPr>
        <w:pStyle w:val="Heading3"/>
      </w:pPr>
      <w:bookmarkStart w:id="2" w:name="_Hlk182484056"/>
      <w:r>
        <w:t>T</w:t>
      </w:r>
      <w:r w:rsidRPr="008165B7">
        <w:t>h</w:t>
      </w:r>
      <w:r>
        <w:t>y</w:t>
      </w:r>
      <w:r w:rsidRPr="008165B7">
        <w:t>m</w:t>
      </w:r>
      <w:r>
        <w:t>ic Carcinoma</w:t>
      </w:r>
      <w:r w:rsidRPr="008165B7">
        <w:rPr>
          <w:vertAlign w:val="superscript"/>
        </w:rPr>
        <w:t>2</w:t>
      </w:r>
    </w:p>
    <w:p w14:paraId="612C70C5" w14:textId="4BB99F37" w:rsidR="00FF0018" w:rsidRPr="00C44B21" w:rsidRDefault="00FF0018" w:rsidP="00FF0018">
      <w:r>
        <w:t>Authorization of 12 months may be granted for the treatment of thymic carcinoma when any of the following are met:</w:t>
      </w:r>
    </w:p>
    <w:p w14:paraId="00EF2B82" w14:textId="77777777" w:rsidR="00FF0018" w:rsidRDefault="00FF0018" w:rsidP="00FF0018">
      <w:pPr>
        <w:pStyle w:val="ListParagraph"/>
        <w:numPr>
          <w:ilvl w:val="0"/>
          <w:numId w:val="44"/>
        </w:numPr>
        <w:spacing w:after="0"/>
        <w:ind w:right="0"/>
        <w:contextualSpacing w:val="0"/>
        <w:textAlignment w:val="auto"/>
      </w:pPr>
      <w:r>
        <w:t>Member has recurrent, advanced, or metastatic disease and the requested medication will be used in combination with carboplatin and paclitaxel and continued as a single agent maintenance therapy, or</w:t>
      </w:r>
    </w:p>
    <w:p w14:paraId="7264C9F4" w14:textId="77777777" w:rsidR="00FF0018" w:rsidRDefault="00FF0018" w:rsidP="00FF0018">
      <w:pPr>
        <w:pStyle w:val="ListParagraph"/>
        <w:numPr>
          <w:ilvl w:val="0"/>
          <w:numId w:val="44"/>
        </w:numPr>
        <w:spacing w:after="0"/>
        <w:ind w:right="0"/>
        <w:contextualSpacing w:val="0"/>
        <w:textAlignment w:val="auto"/>
      </w:pPr>
      <w:r>
        <w:t>Member has had a R1 or R2 resection and the requested medication will be used in combination with carboplatin and paclitaxel as postoperative treatment, or</w:t>
      </w:r>
    </w:p>
    <w:p w14:paraId="1FA48A88" w14:textId="2B00A37D" w:rsidR="00FF0018" w:rsidRDefault="00FF0018" w:rsidP="00FF0018">
      <w:pPr>
        <w:pStyle w:val="ListParagraph"/>
        <w:numPr>
          <w:ilvl w:val="0"/>
          <w:numId w:val="44"/>
        </w:numPr>
        <w:spacing w:after="0"/>
        <w:ind w:right="0"/>
        <w:contextualSpacing w:val="0"/>
        <w:textAlignment w:val="auto"/>
      </w:pPr>
      <w:r>
        <w:t>Member has surgically resectable disease, R0 resection is considered uncertain, and the requested medication will be used in combination with carboplatin and paclitaxel as preoperative treatment.</w:t>
      </w:r>
    </w:p>
    <w:bookmarkEnd w:id="2"/>
    <w:p w14:paraId="3A643EC3" w14:textId="3A58A8E3" w:rsidR="00A501AC" w:rsidRPr="008165B7" w:rsidRDefault="00A501AC" w:rsidP="00A501AC">
      <w:pPr>
        <w:pStyle w:val="Heading2"/>
      </w:pPr>
      <w:r w:rsidRPr="008165B7">
        <w:t>Continuation of Therapy</w:t>
      </w:r>
    </w:p>
    <w:p w14:paraId="329B8656" w14:textId="77777777" w:rsidR="003E43CD" w:rsidRPr="008165B7" w:rsidRDefault="003E43CD" w:rsidP="003E43CD">
      <w:pPr>
        <w:pStyle w:val="Heading3"/>
      </w:pPr>
      <w:r w:rsidRPr="008165B7">
        <w:t>NSCLC</w:t>
      </w:r>
    </w:p>
    <w:p w14:paraId="137D507C" w14:textId="77777777" w:rsidR="003E43CD" w:rsidRPr="008165B7" w:rsidRDefault="003E43CD" w:rsidP="006D5071">
      <w:pPr>
        <w:pStyle w:val="BodyText"/>
      </w:pPr>
      <w:r w:rsidRPr="008165B7">
        <w:t>Authorization of 12 months may be granted for continued treatment in members requesting reauthorization for NSCLC when either of the following criteria is met:</w:t>
      </w:r>
    </w:p>
    <w:p w14:paraId="49856436" w14:textId="77777777" w:rsidR="003E43CD" w:rsidRPr="008165B7" w:rsidRDefault="003E43CD" w:rsidP="008165B7">
      <w:pPr>
        <w:pStyle w:val="ListParagraph"/>
        <w:numPr>
          <w:ilvl w:val="0"/>
          <w:numId w:val="26"/>
        </w:numPr>
        <w:ind w:left="720"/>
        <w:contextualSpacing w:val="0"/>
        <w:textAlignment w:val="auto"/>
      </w:pPr>
      <w:r w:rsidRPr="008165B7">
        <w:t>There is no evidence of unacceptable toxicity or disease progression while on the current regimen, or</w:t>
      </w:r>
    </w:p>
    <w:p w14:paraId="5EC48307" w14:textId="3E2DDD67" w:rsidR="003E43CD" w:rsidRPr="009F20B3" w:rsidRDefault="003E43CD" w:rsidP="008165B7">
      <w:pPr>
        <w:pStyle w:val="ListParagraph"/>
        <w:numPr>
          <w:ilvl w:val="0"/>
          <w:numId w:val="26"/>
        </w:numPr>
        <w:spacing w:after="120"/>
        <w:ind w:left="720"/>
        <w:textAlignment w:val="auto"/>
      </w:pPr>
      <w:r w:rsidRPr="008165B7">
        <w:t>Disease is T790M negative and there is no evidence of unacceptable toxicity</w:t>
      </w:r>
    </w:p>
    <w:p w14:paraId="15BC250D" w14:textId="77777777" w:rsidR="003E43CD" w:rsidRPr="008165B7" w:rsidRDefault="003E43CD" w:rsidP="003E43CD">
      <w:pPr>
        <w:pStyle w:val="Heading3"/>
      </w:pPr>
      <w:r w:rsidRPr="008165B7">
        <w:t>All other indications</w:t>
      </w:r>
    </w:p>
    <w:p w14:paraId="05BBBC6F" w14:textId="4519A403" w:rsidR="002940DA" w:rsidRDefault="003E43CD" w:rsidP="002940DA">
      <w:pPr>
        <w:pStyle w:val="ListParagraph"/>
        <w:numPr>
          <w:ilvl w:val="0"/>
          <w:numId w:val="0"/>
        </w:numPr>
        <w:spacing w:after="120"/>
        <w:ind w:right="0"/>
        <w:contextualSpacing w:val="0"/>
        <w:textAlignment w:val="auto"/>
      </w:pPr>
      <w:r w:rsidRPr="008165B7">
        <w:t xml:space="preserve">Authorization of 12 months may be granted for continued treatment in members requesting reauthorization for an indication listed in </w:t>
      </w:r>
      <w:r w:rsidR="00D35D82">
        <w:t>the Coverage Criteria section</w:t>
      </w:r>
      <w:r w:rsidRPr="008165B7">
        <w:t xml:space="preserve"> when there is no evidence of unacceptable toxicity or disease progression while on the current </w:t>
      </w:r>
      <w:r w:rsidRPr="002940DA">
        <w:t>regimen</w:t>
      </w:r>
      <w:r w:rsidR="00541E3F">
        <w:t>.</w:t>
      </w:r>
    </w:p>
    <w:p w14:paraId="10DA4309" w14:textId="044CEA7E" w:rsidR="00FF66BF" w:rsidRPr="008165B7" w:rsidRDefault="00FF66BF" w:rsidP="00FF66BF">
      <w:pPr>
        <w:pStyle w:val="Heading2"/>
      </w:pPr>
      <w:r w:rsidRPr="008165B7">
        <w:t>References</w:t>
      </w:r>
    </w:p>
    <w:p w14:paraId="7885A9CF" w14:textId="77777777" w:rsidR="003E43CD" w:rsidRPr="008165B7" w:rsidRDefault="003E43CD" w:rsidP="008165B7">
      <w:pPr>
        <w:pStyle w:val="ReferenceOrdered"/>
      </w:pPr>
      <w:r w:rsidRPr="008165B7">
        <w:t>Cyramza [package insert]. Indianapolis, IN: Eli Lilly and Company; March 2022.</w:t>
      </w:r>
    </w:p>
    <w:p w14:paraId="3AD0563F" w14:textId="3296587E" w:rsidR="003E43CD" w:rsidRPr="008165B7" w:rsidRDefault="003E43CD" w:rsidP="008165B7">
      <w:pPr>
        <w:pStyle w:val="ReferenceOrdered"/>
        <w:ind w:right="374"/>
      </w:pPr>
      <w:r w:rsidRPr="008165B7">
        <w:t>The NCCN Drugs &amp; Biologics Compendium® © 202</w:t>
      </w:r>
      <w:r w:rsidR="009413F1">
        <w:t>5</w:t>
      </w:r>
      <w:r w:rsidRPr="008165B7">
        <w:t xml:space="preserve"> National Comprehensive Cancer Network, Inc. Available at: https://www.nccn.org. Accessed </w:t>
      </w:r>
      <w:r w:rsidR="009413F1">
        <w:t>January</w:t>
      </w:r>
      <w:r w:rsidR="006F1115">
        <w:t xml:space="preserve"> 1</w:t>
      </w:r>
      <w:r w:rsidR="009413F1">
        <w:t>7</w:t>
      </w:r>
      <w:r w:rsidRPr="008165B7">
        <w:t>, 202</w:t>
      </w:r>
      <w:r w:rsidR="009413F1">
        <w:t>5</w:t>
      </w:r>
      <w:r w:rsidRPr="008165B7">
        <w:t>.</w:t>
      </w:r>
    </w:p>
    <w:p w14:paraId="7B39E4FC" w14:textId="5AFAD494" w:rsidR="00E85759" w:rsidRPr="008165B7" w:rsidRDefault="003E43CD" w:rsidP="003E43CD">
      <w:pPr>
        <w:pStyle w:val="ReferenceOrdered"/>
        <w:spacing w:after="60"/>
        <w:ind w:right="374"/>
      </w:pPr>
      <w:r w:rsidRPr="008165B7">
        <w:t>National Comprehensive Cancer Network. NCCN Clinical Practice Guidelines in Oncology: Anal Carcinoma. Version 1.202</w:t>
      </w:r>
      <w:r w:rsidR="009413F1">
        <w:t>5</w:t>
      </w:r>
      <w:r w:rsidRPr="008165B7">
        <w:t xml:space="preserve">. https://www.nccn.org/professionals/physician_gls/pdf/anal.pdf. Accessed January </w:t>
      </w:r>
      <w:r w:rsidR="009413F1">
        <w:t>17</w:t>
      </w:r>
      <w:r w:rsidRPr="008165B7">
        <w:t>, 20</w:t>
      </w:r>
      <w:r w:rsidR="00E43643">
        <w:t>2</w:t>
      </w:r>
      <w:r w:rsidR="009413F1">
        <w:t>5</w:t>
      </w:r>
      <w:r w:rsidR="00E43643">
        <w:t>.</w:t>
      </w:r>
    </w:p>
    <w:sectPr w:rsidR="00E85759" w:rsidRPr="008165B7" w:rsidSect="00D11A9A">
      <w:headerReference w:type="default" r:id="rId15"/>
      <w:headerReference w:type="first" r:id="rId16"/>
      <w:footerReference w:type="first" r:id="rId17"/>
      <w:type w:val="continuous"/>
      <w:pgSz w:w="12240" w:h="15840" w:code="1"/>
      <w:pgMar w:top="907" w:right="720" w:bottom="994" w:left="720" w:header="720" w:footer="806" w:gutter="0"/>
      <w:paperSrc w:first="7" w:other="7"/>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CB2427" w14:textId="77777777" w:rsidR="001E6A9D" w:rsidRDefault="001E6A9D">
      <w:r>
        <w:separator/>
      </w:r>
    </w:p>
  </w:endnote>
  <w:endnote w:type="continuationSeparator" w:id="0">
    <w:p w14:paraId="573D020D" w14:textId="77777777" w:rsidR="001E6A9D" w:rsidRDefault="001E6A9D">
      <w:r>
        <w:continuationSeparator/>
      </w:r>
    </w:p>
  </w:endnote>
  <w:endnote w:type="continuationNotice" w:id="1">
    <w:p w14:paraId="2B6FB9DD" w14:textId="77777777" w:rsidR="001E6A9D" w:rsidRDefault="001E6A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0E4262D8"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427176" w:rsidRPr="00427176">
      <w:rPr>
        <w:rFonts w:cs="Arial"/>
        <w:noProof/>
        <w:sz w:val="16"/>
        <w:szCs w:val="16"/>
      </w:rPr>
      <w:t>Cyramza</w:t>
    </w:r>
    <w:r w:rsidR="00427176">
      <w:rPr>
        <w:rFonts w:cs="Arial"/>
        <w:noProof/>
        <w:snapToGrid w:val="0"/>
        <w:color w:val="000000"/>
        <w:sz w:val="16"/>
        <w:szCs w:val="16"/>
      </w:rPr>
      <w:t xml:space="preserve"> SGM 1679-A</w:t>
    </w:r>
    <w:r w:rsidR="00427176" w:rsidRPr="00427176">
      <w:rPr>
        <w:rFonts w:cs="Arial"/>
        <w:noProof/>
        <w:sz w:val="16"/>
        <w:szCs w:val="16"/>
      </w:rPr>
      <w:t xml:space="preserve"> P2025.docx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61CF5924" w14:textId="1F595D6B"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738C5986" w:rsidR="00F75C81" w:rsidRPr="00AA1E6A" w:rsidRDefault="00C36B72" w:rsidP="000053AC">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4A1CA813" w:rsidR="00F50D98" w:rsidRPr="00EC47B6" w:rsidRDefault="00F50D98" w:rsidP="002940DA">
    <w:pPr>
      <w:tabs>
        <w:tab w:val="right" w:pos="10710"/>
      </w:tabs>
      <w:spacing w:after="120"/>
      <w:rPr>
        <w:rFonts w:cs="Arial"/>
        <w:snapToGrid w:val="0"/>
        <w:color w:val="000000"/>
        <w:sz w:val="16"/>
      </w:rPr>
    </w:pPr>
    <w:r w:rsidRPr="00EC47B6">
      <w:rPr>
        <w:rFonts w:cs="Arial"/>
        <w:noProof/>
        <w:snapToGrid w:val="0"/>
        <w:color w:val="000000"/>
        <w:sz w:val="16"/>
        <w:szCs w:val="16"/>
        <w:lang w:val="pt-BR"/>
      </w:rPr>
      <w:fldChar w:fldCharType="begin"/>
    </w:r>
    <w:r w:rsidRPr="00DF4E1E">
      <w:rPr>
        <w:rFonts w:cs="Arial"/>
        <w:noProof/>
        <w:snapToGrid w:val="0"/>
        <w:color w:val="000000"/>
        <w:sz w:val="16"/>
        <w:szCs w:val="16"/>
        <w:lang w:val="pt-BR"/>
      </w:rPr>
      <w:instrText xml:space="preserve"> FILENAME   \* MERGEFORMAT </w:instrText>
    </w:r>
    <w:r w:rsidRPr="00EC47B6">
      <w:rPr>
        <w:rFonts w:cs="Arial"/>
        <w:noProof/>
        <w:snapToGrid w:val="0"/>
        <w:color w:val="000000"/>
        <w:sz w:val="16"/>
        <w:szCs w:val="16"/>
        <w:lang w:val="pt-BR"/>
      </w:rPr>
      <w:fldChar w:fldCharType="separate"/>
    </w:r>
    <w:r w:rsidR="00427176" w:rsidRPr="00427176">
      <w:rPr>
        <w:rFonts w:cs="Arial"/>
        <w:noProof/>
        <w:sz w:val="16"/>
        <w:szCs w:val="16"/>
        <w:lang w:val="pt-BR"/>
      </w:rPr>
      <w:t>Cyramza</w:t>
    </w:r>
    <w:r w:rsidR="00427176">
      <w:rPr>
        <w:rFonts w:cs="Arial"/>
        <w:noProof/>
        <w:snapToGrid w:val="0"/>
        <w:color w:val="000000"/>
        <w:sz w:val="16"/>
        <w:szCs w:val="16"/>
        <w:lang w:val="pt-BR"/>
      </w:rPr>
      <w:t xml:space="preserve"> SGM 1679-A</w:t>
    </w:r>
    <w:r w:rsidR="00427176" w:rsidRPr="00427176">
      <w:rPr>
        <w:rFonts w:cs="Arial"/>
        <w:noProof/>
        <w:sz w:val="16"/>
        <w:szCs w:val="16"/>
        <w:lang w:val="pt-BR"/>
      </w:rPr>
      <w:t xml:space="preserve"> P2025.docx</w:t>
    </w:r>
    <w:r w:rsidRPr="00EC47B6">
      <w:rPr>
        <w:rFonts w:cs="Arial"/>
        <w:noProof/>
        <w:sz w:val="16"/>
        <w:szCs w:val="16"/>
      </w:rPr>
      <w:fldChar w:fldCharType="end"/>
    </w:r>
    <w:r w:rsidRPr="00DF4E1E">
      <w:rPr>
        <w:rFonts w:cs="Arial"/>
        <w:snapToGrid w:val="0"/>
        <w:color w:val="000000"/>
        <w:sz w:val="16"/>
        <w:lang w:val="pt-BR"/>
      </w:rPr>
      <w:tab/>
      <w:t>© 202</w:t>
    </w:r>
    <w:r w:rsidR="00F15415">
      <w:rPr>
        <w:rFonts w:cs="Arial"/>
        <w:snapToGrid w:val="0"/>
        <w:color w:val="000000"/>
        <w:sz w:val="16"/>
        <w:lang w:val="pt-BR"/>
      </w:rPr>
      <w:t>5</w:t>
    </w:r>
    <w:r w:rsidRPr="00DF4E1E">
      <w:rPr>
        <w:rFonts w:cs="Arial"/>
        <w:snapToGrid w:val="0"/>
        <w:color w:val="000000"/>
        <w:sz w:val="16"/>
        <w:lang w:val="pt-BR"/>
      </w:rPr>
      <w:t xml:space="preserve"> CVS Caremark. </w:t>
    </w:r>
    <w:r w:rsidRPr="00EC47B6">
      <w:rPr>
        <w:rFonts w:cs="Arial"/>
        <w:snapToGrid w:val="0"/>
        <w:color w:val="000000"/>
        <w:sz w:val="16"/>
      </w:rPr>
      <w:t>All rights reserved.</w:t>
    </w:r>
  </w:p>
  <w:p w14:paraId="39BFE579" w14:textId="70828659"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2D196B10" w:rsidR="00ED04EC" w:rsidRPr="00F50D98" w:rsidRDefault="00F50D98" w:rsidP="006D5071">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D1674" w14:textId="03CB438C" w:rsidR="000F5383" w:rsidRPr="00F50D98" w:rsidRDefault="000F5383" w:rsidP="00F50D98">
    <w:pPr>
      <w:tabs>
        <w:tab w:val="right" w:pos="10710"/>
      </w:tabs>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017F7E" w14:textId="77777777" w:rsidR="001E6A9D" w:rsidRDefault="001E6A9D">
      <w:r>
        <w:separator/>
      </w:r>
    </w:p>
  </w:footnote>
  <w:footnote w:type="continuationSeparator" w:id="0">
    <w:p w14:paraId="0FAAC6BA" w14:textId="77777777" w:rsidR="001E6A9D" w:rsidRDefault="001E6A9D">
      <w:r>
        <w:continuationSeparator/>
      </w:r>
    </w:p>
  </w:footnote>
  <w:footnote w:type="continuationNotice" w:id="1">
    <w:p w14:paraId="1D9BD019" w14:textId="77777777" w:rsidR="001E6A9D" w:rsidRDefault="001E6A9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rsidTr="0006569F">
      <w:trPr>
        <w:trHeight w:val="144"/>
        <w:jc w:val="right"/>
      </w:trPr>
      <w:tc>
        <w:tcPr>
          <w:tcW w:w="1854" w:type="dxa"/>
          <w:hideMark/>
        </w:tcPr>
        <w:p w14:paraId="18F550B7" w14:textId="77777777" w:rsidR="00ED04EC" w:rsidRPr="00AA1E6A" w:rsidRDefault="00ED04EC" w:rsidP="00ED04EC">
          <w:pPr>
            <w:pStyle w:val="Header"/>
            <w:rPr>
              <w:rFonts w:ascii="Arial" w:hAnsi="Arial" w:cs="Arial"/>
              <w:sz w:val="16"/>
              <w:szCs w:val="16"/>
            </w:rPr>
          </w:pPr>
          <w:r w:rsidRPr="00AA1E6A">
            <w:rPr>
              <w:rFonts w:ascii="Arial" w:hAnsi="Arial" w:cs="Arial"/>
              <w:sz w:val="16"/>
              <w:szCs w:val="16"/>
            </w:rPr>
            <w:t>Reference number(s)</w:t>
          </w:r>
        </w:p>
      </w:tc>
    </w:tr>
    <w:tr w:rsidR="00ED04EC" w:rsidRPr="00ED04EC" w14:paraId="703C6588" w14:textId="77777777" w:rsidTr="0006569F">
      <w:trPr>
        <w:trHeight w:val="378"/>
        <w:jc w:val="right"/>
      </w:trPr>
      <w:tc>
        <w:tcPr>
          <w:tcW w:w="1854" w:type="dxa"/>
          <w:hideMark/>
        </w:tcPr>
        <w:p w14:paraId="51CE3E64" w14:textId="3BD79C7B" w:rsidR="00ED04EC" w:rsidRPr="003F79EA" w:rsidRDefault="00ED04EC" w:rsidP="00ED04EC">
          <w:pPr>
            <w:pStyle w:val="Header"/>
            <w:rPr>
              <w:rFonts w:ascii="Arial" w:hAnsi="Arial" w:cs="Arial"/>
              <w:color w:val="000000" w:themeColor="text1"/>
              <w:sz w:val="16"/>
              <w:szCs w:val="16"/>
            </w:rPr>
          </w:pP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8165B7" w:rsidRPr="008165B7" w14:paraId="111330C3" w14:textId="77777777" w:rsidTr="0006569F">
      <w:trPr>
        <w:trHeight w:val="144"/>
        <w:jc w:val="right"/>
      </w:trPr>
      <w:tc>
        <w:tcPr>
          <w:tcW w:w="1854" w:type="dxa"/>
          <w:hideMark/>
        </w:tcPr>
        <w:p w14:paraId="730139CC" w14:textId="77777777" w:rsidR="008165B7" w:rsidRPr="008165B7" w:rsidRDefault="008165B7" w:rsidP="00ED04EC">
          <w:pPr>
            <w:pStyle w:val="Header"/>
            <w:rPr>
              <w:rFonts w:cs="Arial"/>
              <w:color w:val="000000" w:themeColor="text1"/>
              <w:sz w:val="16"/>
              <w:szCs w:val="16"/>
            </w:rPr>
          </w:pPr>
          <w:r w:rsidRPr="008165B7">
            <w:rPr>
              <w:rFonts w:cs="Arial"/>
              <w:color w:val="000000" w:themeColor="text1"/>
              <w:sz w:val="16"/>
              <w:szCs w:val="16"/>
            </w:rPr>
            <w:t>Reference number(s)</w:t>
          </w:r>
        </w:p>
      </w:tc>
    </w:tr>
    <w:tr w:rsidR="008165B7" w:rsidRPr="008165B7" w14:paraId="1588D957" w14:textId="77777777" w:rsidTr="0006569F">
      <w:trPr>
        <w:trHeight w:val="378"/>
        <w:jc w:val="right"/>
      </w:trPr>
      <w:tc>
        <w:tcPr>
          <w:tcW w:w="1854" w:type="dxa"/>
          <w:hideMark/>
        </w:tcPr>
        <w:p w14:paraId="284260D0" w14:textId="4D3A7C3B" w:rsidR="008165B7" w:rsidRPr="008165B7" w:rsidRDefault="008165B7" w:rsidP="00ED04EC">
          <w:pPr>
            <w:pStyle w:val="Header"/>
            <w:rPr>
              <w:rFonts w:cs="Arial"/>
              <w:color w:val="000000" w:themeColor="text1"/>
              <w:sz w:val="16"/>
              <w:szCs w:val="16"/>
            </w:rPr>
          </w:pPr>
          <w:r w:rsidRPr="008165B7">
            <w:rPr>
              <w:rFonts w:cs="Arial"/>
              <w:color w:val="000000" w:themeColor="text1"/>
              <w:sz w:val="16"/>
              <w:szCs w:val="16"/>
            </w:rPr>
            <w:t>1679-A</w:t>
          </w:r>
        </w:p>
      </w:tc>
    </w:tr>
  </w:tbl>
  <w:p w14:paraId="3E06A6E9" w14:textId="77777777" w:rsidR="008165B7" w:rsidRPr="008165B7" w:rsidRDefault="008165B7" w:rsidP="00B02279">
    <w:pPr>
      <w:pStyle w:val="Header"/>
      <w:rPr>
        <w:color w:val="000000" w:themeColor="text1"/>
        <w:sz w:val="6"/>
        <w:szCs w:val="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0F5383" w:rsidRPr="00ED04EC" w14:paraId="7F49A57F" w14:textId="77777777" w:rsidTr="00551DCD">
      <w:trPr>
        <w:trHeight w:val="144"/>
        <w:jc w:val="right"/>
      </w:trPr>
      <w:tc>
        <w:tcPr>
          <w:tcW w:w="1854" w:type="dxa"/>
          <w:hideMark/>
        </w:tcPr>
        <w:p w14:paraId="4ADC44D6" w14:textId="77777777" w:rsidR="000F5383" w:rsidRPr="004159B2" w:rsidRDefault="000F5383" w:rsidP="009E1F57">
          <w:pPr>
            <w:pStyle w:val="RefTableData"/>
          </w:pPr>
          <w:r w:rsidRPr="004159B2">
            <w:t>Reference number(s)</w:t>
          </w:r>
        </w:p>
      </w:tc>
    </w:tr>
    <w:tr w:rsidR="000F5383" w:rsidRPr="00ED04EC" w14:paraId="2259874D" w14:textId="77777777" w:rsidTr="00551DCD">
      <w:trPr>
        <w:trHeight w:val="378"/>
        <w:jc w:val="right"/>
      </w:trPr>
      <w:tc>
        <w:tcPr>
          <w:tcW w:w="1854" w:type="dxa"/>
          <w:hideMark/>
        </w:tcPr>
        <w:p w14:paraId="475EFE95" w14:textId="3311C681" w:rsidR="000F5383" w:rsidRPr="00FF66BF" w:rsidRDefault="002940DA" w:rsidP="009E1F57">
          <w:pPr>
            <w:pStyle w:val="RefTableHeader"/>
          </w:pPr>
          <w:r>
            <w:t>1679-A</w:t>
          </w:r>
        </w:p>
      </w:tc>
    </w:tr>
  </w:tbl>
  <w:p w14:paraId="5ACB788B" w14:textId="77777777" w:rsidR="000F5383" w:rsidRPr="000F5383" w:rsidRDefault="000F5383">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93C7527"/>
    <w:multiLevelType w:val="hybridMultilevel"/>
    <w:tmpl w:val="1B166B68"/>
    <w:lvl w:ilvl="0" w:tplc="04090005">
      <w:start w:val="1"/>
      <w:numFmt w:val="bullet"/>
      <w:lvlText w:val=""/>
      <w:lvlJc w:val="left"/>
      <w:pPr>
        <w:ind w:left="2160" w:hanging="360"/>
      </w:pPr>
      <w:rPr>
        <w:rFonts w:ascii="Wingdings" w:hAnsi="Wingdings" w:hint="default"/>
      </w:rPr>
    </w:lvl>
    <w:lvl w:ilvl="1" w:tplc="04090005">
      <w:start w:val="1"/>
      <w:numFmt w:val="bullet"/>
      <w:lvlText w:val=""/>
      <w:lvlJc w:val="left"/>
      <w:pPr>
        <w:ind w:left="2880" w:hanging="360"/>
      </w:pPr>
      <w:rPr>
        <w:rFonts w:ascii="Wingdings" w:hAnsi="Wingdings" w:hint="default"/>
      </w:r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12"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4024BB6"/>
    <w:multiLevelType w:val="hybridMultilevel"/>
    <w:tmpl w:val="8E0033FA"/>
    <w:lvl w:ilvl="0" w:tplc="33B4F5D2">
      <w:start w:val="1"/>
      <w:numFmt w:val="bullet"/>
      <w:lvlText w:val=""/>
      <w:lvlJc w:val="left"/>
      <w:pPr>
        <w:ind w:left="720" w:hanging="360"/>
      </w:pPr>
      <w:rPr>
        <w:rFonts w:ascii="Symbol" w:hAnsi="Symbol" w:hint="default"/>
        <w:b/>
        <w:bCs w:val="0"/>
        <w:i w:val="0"/>
        <w:w w:val="99"/>
        <w:sz w:val="22"/>
        <w:szCs w:val="2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9D234BC"/>
    <w:multiLevelType w:val="hybridMultilevel"/>
    <w:tmpl w:val="5186DF4C"/>
    <w:lvl w:ilvl="0" w:tplc="4ACA744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7"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26280636"/>
    <w:multiLevelType w:val="hybridMultilevel"/>
    <w:tmpl w:val="5E30DFA6"/>
    <w:lvl w:ilvl="0" w:tplc="33B4F5D2">
      <w:start w:val="1"/>
      <w:numFmt w:val="bullet"/>
      <w:lvlText w:val=""/>
      <w:lvlJc w:val="left"/>
      <w:pPr>
        <w:ind w:left="1080" w:hanging="360"/>
      </w:pPr>
      <w:rPr>
        <w:rFonts w:ascii="Symbol" w:hAnsi="Symbol" w:hint="default"/>
        <w:b/>
        <w:bCs w:val="0"/>
        <w:i w:val="0"/>
        <w:color w:val="auto"/>
        <w:w w:val="99"/>
        <w:sz w:val="22"/>
        <w:szCs w:val="28"/>
      </w:rPr>
    </w:lvl>
    <w:lvl w:ilvl="1" w:tplc="9FC6214A">
      <w:start w:val="1"/>
      <w:numFmt w:val="decimal"/>
      <w:lvlText w:val="%2."/>
      <w:lvlJc w:val="left"/>
      <w:pPr>
        <w:ind w:left="1440" w:hanging="360"/>
      </w:pPr>
      <w:rPr>
        <w:rFonts w:ascii="Arial" w:eastAsia="Times New Roman" w:hAnsi="Arial" w:cs="Arial"/>
        <w:strike w:val="0"/>
        <w:sz w:val="20"/>
        <w:szCs w:val="20"/>
      </w:rPr>
    </w:lvl>
    <w:lvl w:ilvl="2" w:tplc="0409001B">
      <w:start w:val="1"/>
      <w:numFmt w:val="lowerRoman"/>
      <w:lvlText w:val="%3."/>
      <w:lvlJc w:val="right"/>
      <w:pPr>
        <w:ind w:left="2520" w:hanging="180"/>
      </w:pPr>
    </w:lvl>
    <w:lvl w:ilvl="3" w:tplc="33B4F5D2">
      <w:start w:val="1"/>
      <w:numFmt w:val="bullet"/>
      <w:lvlText w:val=""/>
      <w:lvlJc w:val="left"/>
      <w:pPr>
        <w:ind w:left="720" w:hanging="360"/>
      </w:pPr>
      <w:rPr>
        <w:rFonts w:ascii="Symbol" w:hAnsi="Symbol" w:hint="default"/>
        <w:b/>
        <w:bCs w:val="0"/>
        <w:i w:val="0"/>
        <w:w w:val="99"/>
        <w:sz w:val="22"/>
        <w:szCs w:val="28"/>
      </w:rPr>
    </w:lvl>
    <w:lvl w:ilvl="4" w:tplc="04090019">
      <w:start w:val="1"/>
      <w:numFmt w:val="lowerLetter"/>
      <w:lvlText w:val="%5."/>
      <w:lvlJc w:val="left"/>
      <w:pPr>
        <w:ind w:left="1800" w:hanging="360"/>
      </w:pPr>
    </w:lvl>
    <w:lvl w:ilvl="5" w:tplc="0409001B">
      <w:start w:val="1"/>
      <w:numFmt w:val="lowerRoman"/>
      <w:lvlText w:val="%6."/>
      <w:lvlJc w:val="right"/>
      <w:pPr>
        <w:ind w:left="216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A291047"/>
    <w:multiLevelType w:val="hybridMultilevel"/>
    <w:tmpl w:val="27A2C1D2"/>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33D3A61"/>
    <w:multiLevelType w:val="hybridMultilevel"/>
    <w:tmpl w:val="A31E4D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4617286C"/>
    <w:multiLevelType w:val="hybridMultilevel"/>
    <w:tmpl w:val="C9C06974"/>
    <w:lvl w:ilvl="0" w:tplc="40090001">
      <w:start w:val="1"/>
      <w:numFmt w:val="bullet"/>
      <w:lvlText w:val=""/>
      <w:lvlJc w:val="left"/>
      <w:pPr>
        <w:ind w:left="1800" w:hanging="360"/>
      </w:pPr>
      <w:rPr>
        <w:rFonts w:ascii="Symbol" w:hAnsi="Symbol"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24" w15:restartNumberingAfterBreak="0">
    <w:nsid w:val="4E543452"/>
    <w:multiLevelType w:val="hybridMultilevel"/>
    <w:tmpl w:val="DB40BAA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5"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E0469F9"/>
    <w:multiLevelType w:val="hybridMultilevel"/>
    <w:tmpl w:val="CA887446"/>
    <w:lvl w:ilvl="0" w:tplc="85DCADD0">
      <w:start w:val="1"/>
      <w:numFmt w:val="decimal"/>
      <w:lvlText w:val="%1."/>
      <w:lvlJc w:val="left"/>
      <w:pPr>
        <w:ind w:left="1440" w:hanging="360"/>
      </w:pPr>
      <w:rPr>
        <w:rFonts w:ascii="Arial" w:eastAsia="Times New Roman" w:hAnsi="Arial" w:cs="Arial"/>
      </w:rPr>
    </w:lvl>
    <w:lvl w:ilvl="1" w:tplc="8EE674E2">
      <w:start w:val="1"/>
      <w:numFmt w:val="lowerLetter"/>
      <w:lvlText w:val="%2."/>
      <w:lvlJc w:val="left"/>
      <w:pPr>
        <w:ind w:left="1800" w:hanging="360"/>
      </w:pPr>
      <w:rPr>
        <w:rFonts w:ascii="Arial" w:eastAsia="Times New Roman" w:hAnsi="Arial" w:cs="Arial"/>
      </w:rPr>
    </w:lvl>
    <w:lvl w:ilvl="2" w:tplc="04090005">
      <w:start w:val="1"/>
      <w:numFmt w:val="bullet"/>
      <w:lvlText w:val=""/>
      <w:lvlJc w:val="left"/>
      <w:pPr>
        <w:ind w:left="2880" w:hanging="360"/>
      </w:pPr>
      <w:rPr>
        <w:rFonts w:ascii="Wingdings" w:hAnsi="Wingdings" w:hint="default"/>
      </w:rPr>
    </w:lvl>
    <w:lvl w:ilvl="3" w:tplc="35AEE6B6">
      <w:start w:val="1"/>
      <w:numFmt w:val="upperLetter"/>
      <w:lvlText w:val="%4."/>
      <w:lvlJc w:val="left"/>
      <w:pPr>
        <w:ind w:left="1080" w:hanging="360"/>
      </w:pPr>
      <w:rPr>
        <w:rFonts w:hint="default"/>
        <w:b/>
        <w:bCs/>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73CC3A1F"/>
    <w:multiLevelType w:val="hybridMultilevel"/>
    <w:tmpl w:val="43266AC2"/>
    <w:lvl w:ilvl="0" w:tplc="FFFFFFFF">
      <w:start w:val="1"/>
      <w:numFmt w:val="upperLetter"/>
      <w:lvlText w:val="%1."/>
      <w:lvlJc w:val="left"/>
      <w:pPr>
        <w:ind w:left="1080" w:hanging="360"/>
      </w:pPr>
      <w:rPr>
        <w:rFonts w:ascii="Arial" w:eastAsia="Times New Roman" w:hAnsi="Arial" w:cs="Arial"/>
        <w:color w:val="auto"/>
      </w:rPr>
    </w:lvl>
    <w:lvl w:ilvl="1" w:tplc="40090001">
      <w:start w:val="1"/>
      <w:numFmt w:val="bullet"/>
      <w:lvlText w:val=""/>
      <w:lvlJc w:val="left"/>
      <w:pPr>
        <w:ind w:left="1440" w:hanging="360"/>
      </w:pPr>
      <w:rPr>
        <w:rFonts w:ascii="Symbol" w:hAnsi="Symbol" w:hint="default"/>
      </w:rPr>
    </w:lvl>
    <w:lvl w:ilvl="2" w:tplc="FFFFFFFF">
      <w:start w:val="1"/>
      <w:numFmt w:val="lowerRoman"/>
      <w:lvlText w:val="%3."/>
      <w:lvlJc w:val="right"/>
      <w:pPr>
        <w:ind w:left="2520" w:hanging="180"/>
      </w:pPr>
    </w:lvl>
    <w:lvl w:ilvl="3" w:tplc="FFFFFFFF">
      <w:start w:val="1"/>
      <w:numFmt w:val="decimal"/>
      <w:lvlText w:val="%4."/>
      <w:lvlJc w:val="left"/>
      <w:pPr>
        <w:ind w:left="1440" w:hanging="360"/>
      </w:pPr>
      <w:rPr>
        <w:rFonts w:ascii="Arial" w:eastAsia="Times New Roman" w:hAnsi="Arial" w:cs="Arial"/>
      </w:rPr>
    </w:lvl>
    <w:lvl w:ilvl="4" w:tplc="FFFFFFFF">
      <w:start w:val="1"/>
      <w:numFmt w:val="lowerLetter"/>
      <w:lvlText w:val="%5."/>
      <w:lvlJc w:val="left"/>
      <w:pPr>
        <w:ind w:left="1800" w:hanging="360"/>
      </w:pPr>
    </w:lvl>
    <w:lvl w:ilvl="5" w:tplc="FFFFFFFF">
      <w:start w:val="1"/>
      <w:numFmt w:val="lowerRoman"/>
      <w:lvlText w:val="%6."/>
      <w:lvlJc w:val="right"/>
      <w:pPr>
        <w:ind w:left="216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3"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7ED20C35"/>
    <w:multiLevelType w:val="hybridMultilevel"/>
    <w:tmpl w:val="F13AE4D0"/>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16cid:durableId="1264921869">
    <w:abstractNumId w:val="12"/>
  </w:num>
  <w:num w:numId="2" w16cid:durableId="606935877">
    <w:abstractNumId w:val="29"/>
  </w:num>
  <w:num w:numId="3" w16cid:durableId="611589570">
    <w:abstractNumId w:val="25"/>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3"/>
  </w:num>
  <w:num w:numId="15" w16cid:durableId="616722934">
    <w:abstractNumId w:val="10"/>
  </w:num>
  <w:num w:numId="16" w16cid:durableId="898320195">
    <w:abstractNumId w:val="21"/>
  </w:num>
  <w:num w:numId="17" w16cid:durableId="2128498676">
    <w:abstractNumId w:val="33"/>
  </w:num>
  <w:num w:numId="18" w16cid:durableId="299724409">
    <w:abstractNumId w:val="26"/>
  </w:num>
  <w:num w:numId="19" w16cid:durableId="214585573">
    <w:abstractNumId w:val="16"/>
  </w:num>
  <w:num w:numId="20" w16cid:durableId="1289816170">
    <w:abstractNumId w:val="17"/>
  </w:num>
  <w:num w:numId="21" w16cid:durableId="1066490929">
    <w:abstractNumId w:val="34"/>
  </w:num>
  <w:num w:numId="22" w16cid:durableId="1472481103">
    <w:abstractNumId w:val="28"/>
  </w:num>
  <w:num w:numId="23" w16cid:durableId="1997420403">
    <w:abstractNumId w:val="30"/>
  </w:num>
  <w:num w:numId="24" w16cid:durableId="33312838">
    <w:abstractNumId w:val="27"/>
  </w:num>
  <w:num w:numId="25" w16cid:durableId="507404939">
    <w:abstractNumId w:val="20"/>
  </w:num>
  <w:num w:numId="26" w16cid:durableId="1258098528">
    <w:abstractNumId w:val="18"/>
  </w:num>
  <w:num w:numId="27" w16cid:durableId="896548225">
    <w:abstractNumId w:val="35"/>
  </w:num>
  <w:num w:numId="28" w16cid:durableId="1697848862">
    <w:abstractNumId w:val="32"/>
  </w:num>
  <w:num w:numId="29" w16cid:durableId="712577670">
    <w:abstractNumId w:val="11"/>
  </w:num>
  <w:num w:numId="30" w16cid:durableId="403142825">
    <w:abstractNumId w:val="24"/>
  </w:num>
  <w:num w:numId="31" w16cid:durableId="1154250593">
    <w:abstractNumId w:val="31"/>
  </w:num>
  <w:num w:numId="32" w16cid:durableId="652218330">
    <w:abstractNumId w:val="19"/>
  </w:num>
  <w:num w:numId="33" w16cid:durableId="1605772038">
    <w:abstractNumId w:val="23"/>
  </w:num>
  <w:num w:numId="34" w16cid:durableId="451831023">
    <w:abstractNumId w:val="15"/>
  </w:num>
  <w:num w:numId="35" w16cid:durableId="941953318">
    <w:abstractNumId w:val="14"/>
  </w:num>
  <w:num w:numId="36" w16cid:durableId="2017220091">
    <w:abstractNumId w:val="34"/>
  </w:num>
  <w:num w:numId="37" w16cid:durableId="878399359">
    <w:abstractNumId w:val="34"/>
  </w:num>
  <w:num w:numId="38" w16cid:durableId="1852334451">
    <w:abstractNumId w:val="34"/>
  </w:num>
  <w:num w:numId="39" w16cid:durableId="743990884">
    <w:abstractNumId w:val="34"/>
  </w:num>
  <w:num w:numId="40" w16cid:durableId="1824471302">
    <w:abstractNumId w:val="34"/>
  </w:num>
  <w:num w:numId="41" w16cid:durableId="1803616588">
    <w:abstractNumId w:val="34"/>
  </w:num>
  <w:num w:numId="42" w16cid:durableId="1772311360">
    <w:abstractNumId w:val="34"/>
  </w:num>
  <w:num w:numId="43" w16cid:durableId="870413926">
    <w:abstractNumId w:val="34"/>
  </w:num>
  <w:num w:numId="44" w16cid:durableId="1947737839">
    <w:abstractNumId w:val="2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3AC"/>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38D"/>
    <w:rsid w:val="00024BB4"/>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0873"/>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C18"/>
    <w:rsid w:val="000760A2"/>
    <w:rsid w:val="000760F2"/>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46F3"/>
    <w:rsid w:val="00085375"/>
    <w:rsid w:val="00085913"/>
    <w:rsid w:val="00085D37"/>
    <w:rsid w:val="00086953"/>
    <w:rsid w:val="00090142"/>
    <w:rsid w:val="00090C1B"/>
    <w:rsid w:val="000913DE"/>
    <w:rsid w:val="00091E1D"/>
    <w:rsid w:val="00093AB5"/>
    <w:rsid w:val="00094A59"/>
    <w:rsid w:val="00095B9C"/>
    <w:rsid w:val="0009781E"/>
    <w:rsid w:val="000A0CCE"/>
    <w:rsid w:val="000A1653"/>
    <w:rsid w:val="000A1ACD"/>
    <w:rsid w:val="000A2697"/>
    <w:rsid w:val="000A34B0"/>
    <w:rsid w:val="000A3543"/>
    <w:rsid w:val="000A42D7"/>
    <w:rsid w:val="000A5AE5"/>
    <w:rsid w:val="000A71EC"/>
    <w:rsid w:val="000A7D51"/>
    <w:rsid w:val="000B0F9D"/>
    <w:rsid w:val="000B104D"/>
    <w:rsid w:val="000B1961"/>
    <w:rsid w:val="000B20CD"/>
    <w:rsid w:val="000B3B40"/>
    <w:rsid w:val="000B40A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5FC5"/>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3023"/>
    <w:rsid w:val="000F41E3"/>
    <w:rsid w:val="000F4745"/>
    <w:rsid w:val="000F5383"/>
    <w:rsid w:val="000F5A0F"/>
    <w:rsid w:val="000F61E0"/>
    <w:rsid w:val="000F677F"/>
    <w:rsid w:val="000F69A0"/>
    <w:rsid w:val="000F6E71"/>
    <w:rsid w:val="000F75BA"/>
    <w:rsid w:val="001012A6"/>
    <w:rsid w:val="00101748"/>
    <w:rsid w:val="00101C90"/>
    <w:rsid w:val="00101D40"/>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4477"/>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F8E"/>
    <w:rsid w:val="00176167"/>
    <w:rsid w:val="00176A70"/>
    <w:rsid w:val="0017701E"/>
    <w:rsid w:val="00177020"/>
    <w:rsid w:val="00177E46"/>
    <w:rsid w:val="0018072F"/>
    <w:rsid w:val="00180A53"/>
    <w:rsid w:val="00181BB0"/>
    <w:rsid w:val="00182716"/>
    <w:rsid w:val="00182BBD"/>
    <w:rsid w:val="00182C96"/>
    <w:rsid w:val="001837BD"/>
    <w:rsid w:val="001849AC"/>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5E3E"/>
    <w:rsid w:val="0019677F"/>
    <w:rsid w:val="0019733B"/>
    <w:rsid w:val="00197771"/>
    <w:rsid w:val="001A0E7C"/>
    <w:rsid w:val="001A2781"/>
    <w:rsid w:val="001A2987"/>
    <w:rsid w:val="001A320A"/>
    <w:rsid w:val="001A33ED"/>
    <w:rsid w:val="001A432C"/>
    <w:rsid w:val="001A4C1C"/>
    <w:rsid w:val="001A4DBB"/>
    <w:rsid w:val="001A55B8"/>
    <w:rsid w:val="001A576D"/>
    <w:rsid w:val="001A57C5"/>
    <w:rsid w:val="001A6053"/>
    <w:rsid w:val="001A7761"/>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A9D"/>
    <w:rsid w:val="001E6D9E"/>
    <w:rsid w:val="001E6FB8"/>
    <w:rsid w:val="001E7C7E"/>
    <w:rsid w:val="001F031E"/>
    <w:rsid w:val="001F0F10"/>
    <w:rsid w:val="001F23D0"/>
    <w:rsid w:val="001F24E7"/>
    <w:rsid w:val="001F2760"/>
    <w:rsid w:val="001F2F24"/>
    <w:rsid w:val="001F4025"/>
    <w:rsid w:val="001F4BF6"/>
    <w:rsid w:val="001F51D0"/>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5B93"/>
    <w:rsid w:val="002063D0"/>
    <w:rsid w:val="00206414"/>
    <w:rsid w:val="0020721A"/>
    <w:rsid w:val="002077DB"/>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47A04"/>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0DA"/>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4BD7"/>
    <w:rsid w:val="002B597A"/>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FA8"/>
    <w:rsid w:val="002F311C"/>
    <w:rsid w:val="002F335A"/>
    <w:rsid w:val="002F5F01"/>
    <w:rsid w:val="002F6300"/>
    <w:rsid w:val="0030016D"/>
    <w:rsid w:val="00301F62"/>
    <w:rsid w:val="00302DBD"/>
    <w:rsid w:val="003030D7"/>
    <w:rsid w:val="00304F20"/>
    <w:rsid w:val="00305223"/>
    <w:rsid w:val="00305A72"/>
    <w:rsid w:val="00305BDF"/>
    <w:rsid w:val="00305F83"/>
    <w:rsid w:val="00306B2E"/>
    <w:rsid w:val="003070FF"/>
    <w:rsid w:val="00307499"/>
    <w:rsid w:val="00307DCC"/>
    <w:rsid w:val="003116A8"/>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68AA"/>
    <w:rsid w:val="00346D5D"/>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E9F"/>
    <w:rsid w:val="003664C9"/>
    <w:rsid w:val="00366871"/>
    <w:rsid w:val="00367117"/>
    <w:rsid w:val="00367AE6"/>
    <w:rsid w:val="0037016F"/>
    <w:rsid w:val="00370374"/>
    <w:rsid w:val="00371901"/>
    <w:rsid w:val="0037282C"/>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A39"/>
    <w:rsid w:val="00391F5A"/>
    <w:rsid w:val="003936BB"/>
    <w:rsid w:val="00393961"/>
    <w:rsid w:val="00394467"/>
    <w:rsid w:val="00395521"/>
    <w:rsid w:val="00395A71"/>
    <w:rsid w:val="00396A5B"/>
    <w:rsid w:val="00396D00"/>
    <w:rsid w:val="003A0693"/>
    <w:rsid w:val="003A2056"/>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8D8"/>
    <w:rsid w:val="003E3201"/>
    <w:rsid w:val="003E3F3B"/>
    <w:rsid w:val="003E43CD"/>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9EA"/>
    <w:rsid w:val="003F7A17"/>
    <w:rsid w:val="00401820"/>
    <w:rsid w:val="00402C8F"/>
    <w:rsid w:val="00402FED"/>
    <w:rsid w:val="00403087"/>
    <w:rsid w:val="004032A5"/>
    <w:rsid w:val="0040594C"/>
    <w:rsid w:val="00405C5D"/>
    <w:rsid w:val="00407C38"/>
    <w:rsid w:val="0041061B"/>
    <w:rsid w:val="00411195"/>
    <w:rsid w:val="00411413"/>
    <w:rsid w:val="004127A0"/>
    <w:rsid w:val="00412ABD"/>
    <w:rsid w:val="00412C14"/>
    <w:rsid w:val="00413801"/>
    <w:rsid w:val="00413861"/>
    <w:rsid w:val="0041471C"/>
    <w:rsid w:val="004154F5"/>
    <w:rsid w:val="0041567E"/>
    <w:rsid w:val="004159B2"/>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176"/>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63A"/>
    <w:rsid w:val="00447E12"/>
    <w:rsid w:val="004507D8"/>
    <w:rsid w:val="00451431"/>
    <w:rsid w:val="004516EC"/>
    <w:rsid w:val="00452B20"/>
    <w:rsid w:val="00453D7B"/>
    <w:rsid w:val="004548ED"/>
    <w:rsid w:val="00454A31"/>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6423"/>
    <w:rsid w:val="004B758F"/>
    <w:rsid w:val="004C00B9"/>
    <w:rsid w:val="004C03AC"/>
    <w:rsid w:val="004C0A3F"/>
    <w:rsid w:val="004C32BE"/>
    <w:rsid w:val="004C3F91"/>
    <w:rsid w:val="004C4493"/>
    <w:rsid w:val="004C45E2"/>
    <w:rsid w:val="004C4D0C"/>
    <w:rsid w:val="004C53B2"/>
    <w:rsid w:val="004C64EE"/>
    <w:rsid w:val="004C6FCE"/>
    <w:rsid w:val="004C7E69"/>
    <w:rsid w:val="004D0231"/>
    <w:rsid w:val="004D066D"/>
    <w:rsid w:val="004D06DB"/>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08C7"/>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40C"/>
    <w:rsid w:val="00512508"/>
    <w:rsid w:val="00513C29"/>
    <w:rsid w:val="00513FB7"/>
    <w:rsid w:val="00514A01"/>
    <w:rsid w:val="00515A3D"/>
    <w:rsid w:val="00515A5C"/>
    <w:rsid w:val="005166CA"/>
    <w:rsid w:val="00516920"/>
    <w:rsid w:val="00517206"/>
    <w:rsid w:val="00520296"/>
    <w:rsid w:val="00520A89"/>
    <w:rsid w:val="005210A8"/>
    <w:rsid w:val="00521489"/>
    <w:rsid w:val="00521582"/>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1E3F"/>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B96"/>
    <w:rsid w:val="0057408D"/>
    <w:rsid w:val="00574CC2"/>
    <w:rsid w:val="00574D98"/>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C74"/>
    <w:rsid w:val="00585601"/>
    <w:rsid w:val="0058589F"/>
    <w:rsid w:val="005858A3"/>
    <w:rsid w:val="0058593A"/>
    <w:rsid w:val="00585FFF"/>
    <w:rsid w:val="0058649E"/>
    <w:rsid w:val="0058662F"/>
    <w:rsid w:val="0058694F"/>
    <w:rsid w:val="00586ED1"/>
    <w:rsid w:val="00587795"/>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31A"/>
    <w:rsid w:val="005B1A17"/>
    <w:rsid w:val="005B1B77"/>
    <w:rsid w:val="005B2321"/>
    <w:rsid w:val="005B28D1"/>
    <w:rsid w:val="005B29C6"/>
    <w:rsid w:val="005B425D"/>
    <w:rsid w:val="005B496D"/>
    <w:rsid w:val="005B52C4"/>
    <w:rsid w:val="005C026B"/>
    <w:rsid w:val="005C194C"/>
    <w:rsid w:val="005C2667"/>
    <w:rsid w:val="005C295A"/>
    <w:rsid w:val="005C2C21"/>
    <w:rsid w:val="005C3B4F"/>
    <w:rsid w:val="005C44D1"/>
    <w:rsid w:val="005C52A6"/>
    <w:rsid w:val="005C6812"/>
    <w:rsid w:val="005C6C6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0DD"/>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803"/>
    <w:rsid w:val="006278F4"/>
    <w:rsid w:val="00627B98"/>
    <w:rsid w:val="00631305"/>
    <w:rsid w:val="00631F71"/>
    <w:rsid w:val="006328A6"/>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9A7"/>
    <w:rsid w:val="006913AD"/>
    <w:rsid w:val="006917AF"/>
    <w:rsid w:val="006919C1"/>
    <w:rsid w:val="0069283D"/>
    <w:rsid w:val="00692A50"/>
    <w:rsid w:val="00693B34"/>
    <w:rsid w:val="00694B18"/>
    <w:rsid w:val="00694B30"/>
    <w:rsid w:val="00694B8A"/>
    <w:rsid w:val="00694C2D"/>
    <w:rsid w:val="00696693"/>
    <w:rsid w:val="00697304"/>
    <w:rsid w:val="006A1D42"/>
    <w:rsid w:val="006A29D6"/>
    <w:rsid w:val="006A2EC3"/>
    <w:rsid w:val="006A37C9"/>
    <w:rsid w:val="006A3CFD"/>
    <w:rsid w:val="006A3F40"/>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43B"/>
    <w:rsid w:val="006D171C"/>
    <w:rsid w:val="006D21AA"/>
    <w:rsid w:val="006D23BA"/>
    <w:rsid w:val="006D24CA"/>
    <w:rsid w:val="006D341B"/>
    <w:rsid w:val="006D3542"/>
    <w:rsid w:val="006D4EA6"/>
    <w:rsid w:val="006D5071"/>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1115"/>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FB2"/>
    <w:rsid w:val="00707218"/>
    <w:rsid w:val="007074F5"/>
    <w:rsid w:val="00707D04"/>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417D"/>
    <w:rsid w:val="00765BBE"/>
    <w:rsid w:val="00766061"/>
    <w:rsid w:val="007704F3"/>
    <w:rsid w:val="007710F2"/>
    <w:rsid w:val="007716E9"/>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109"/>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11D7"/>
    <w:rsid w:val="007E1334"/>
    <w:rsid w:val="007E1AA0"/>
    <w:rsid w:val="007E1E4C"/>
    <w:rsid w:val="007E2C35"/>
    <w:rsid w:val="007E427E"/>
    <w:rsid w:val="007E450C"/>
    <w:rsid w:val="007E4AD4"/>
    <w:rsid w:val="007E5C16"/>
    <w:rsid w:val="007E5C40"/>
    <w:rsid w:val="007E7B46"/>
    <w:rsid w:val="007F02C3"/>
    <w:rsid w:val="007F04D8"/>
    <w:rsid w:val="007F11E6"/>
    <w:rsid w:val="007F20FF"/>
    <w:rsid w:val="007F2388"/>
    <w:rsid w:val="007F2641"/>
    <w:rsid w:val="007F280C"/>
    <w:rsid w:val="007F2FAC"/>
    <w:rsid w:val="007F349F"/>
    <w:rsid w:val="007F475E"/>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65B7"/>
    <w:rsid w:val="00817095"/>
    <w:rsid w:val="008171AA"/>
    <w:rsid w:val="0082041F"/>
    <w:rsid w:val="00821A95"/>
    <w:rsid w:val="00822077"/>
    <w:rsid w:val="00822A02"/>
    <w:rsid w:val="008231A9"/>
    <w:rsid w:val="0082357B"/>
    <w:rsid w:val="0082395F"/>
    <w:rsid w:val="00823B22"/>
    <w:rsid w:val="008254BC"/>
    <w:rsid w:val="00826FDC"/>
    <w:rsid w:val="008308BE"/>
    <w:rsid w:val="00830CE5"/>
    <w:rsid w:val="008313C2"/>
    <w:rsid w:val="00832520"/>
    <w:rsid w:val="00832E80"/>
    <w:rsid w:val="00832EB5"/>
    <w:rsid w:val="00832F22"/>
    <w:rsid w:val="0083565A"/>
    <w:rsid w:val="00835A0B"/>
    <w:rsid w:val="008409AE"/>
    <w:rsid w:val="00840EA7"/>
    <w:rsid w:val="008428E1"/>
    <w:rsid w:val="00842F87"/>
    <w:rsid w:val="008432CC"/>
    <w:rsid w:val="00843CE4"/>
    <w:rsid w:val="0084425F"/>
    <w:rsid w:val="008445A6"/>
    <w:rsid w:val="00844E79"/>
    <w:rsid w:val="008465D2"/>
    <w:rsid w:val="00850792"/>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251"/>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222"/>
    <w:rsid w:val="00892A08"/>
    <w:rsid w:val="008943CF"/>
    <w:rsid w:val="008945D6"/>
    <w:rsid w:val="00895C0F"/>
    <w:rsid w:val="00895FE5"/>
    <w:rsid w:val="00896FAB"/>
    <w:rsid w:val="008973E6"/>
    <w:rsid w:val="00897778"/>
    <w:rsid w:val="00897A39"/>
    <w:rsid w:val="00897BD4"/>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1B72"/>
    <w:rsid w:val="008E24FB"/>
    <w:rsid w:val="008E3173"/>
    <w:rsid w:val="008E40F9"/>
    <w:rsid w:val="008E4479"/>
    <w:rsid w:val="008E4958"/>
    <w:rsid w:val="008E510A"/>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F59"/>
    <w:rsid w:val="008F640B"/>
    <w:rsid w:val="008F6F5D"/>
    <w:rsid w:val="008F79F2"/>
    <w:rsid w:val="008F7B57"/>
    <w:rsid w:val="0090242B"/>
    <w:rsid w:val="00903866"/>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4A46"/>
    <w:rsid w:val="009355C3"/>
    <w:rsid w:val="00935BC3"/>
    <w:rsid w:val="00937266"/>
    <w:rsid w:val="00940AA9"/>
    <w:rsid w:val="00941264"/>
    <w:rsid w:val="009413F1"/>
    <w:rsid w:val="0094296E"/>
    <w:rsid w:val="0094298C"/>
    <w:rsid w:val="009434E1"/>
    <w:rsid w:val="0094553A"/>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2C84"/>
    <w:rsid w:val="009844BA"/>
    <w:rsid w:val="009857F1"/>
    <w:rsid w:val="00985A7D"/>
    <w:rsid w:val="00985EC8"/>
    <w:rsid w:val="00985F93"/>
    <w:rsid w:val="00986BF8"/>
    <w:rsid w:val="00986C82"/>
    <w:rsid w:val="009911F3"/>
    <w:rsid w:val="00991319"/>
    <w:rsid w:val="0099311D"/>
    <w:rsid w:val="00993552"/>
    <w:rsid w:val="00993CD7"/>
    <w:rsid w:val="00994865"/>
    <w:rsid w:val="00995A6D"/>
    <w:rsid w:val="00995DAD"/>
    <w:rsid w:val="00995F4D"/>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B7F13"/>
    <w:rsid w:val="009C0A23"/>
    <w:rsid w:val="009C2E32"/>
    <w:rsid w:val="009C3C50"/>
    <w:rsid w:val="009C4B9D"/>
    <w:rsid w:val="009C4E1E"/>
    <w:rsid w:val="009C595B"/>
    <w:rsid w:val="009C6673"/>
    <w:rsid w:val="009C6CB5"/>
    <w:rsid w:val="009C6CFE"/>
    <w:rsid w:val="009C7D3E"/>
    <w:rsid w:val="009D0B0C"/>
    <w:rsid w:val="009D0C37"/>
    <w:rsid w:val="009D2D63"/>
    <w:rsid w:val="009D60F4"/>
    <w:rsid w:val="009D6686"/>
    <w:rsid w:val="009D6C0F"/>
    <w:rsid w:val="009D6D3D"/>
    <w:rsid w:val="009D7037"/>
    <w:rsid w:val="009D71AB"/>
    <w:rsid w:val="009D72AF"/>
    <w:rsid w:val="009D7595"/>
    <w:rsid w:val="009D7679"/>
    <w:rsid w:val="009D7C0C"/>
    <w:rsid w:val="009D7F0B"/>
    <w:rsid w:val="009E1F57"/>
    <w:rsid w:val="009E20EB"/>
    <w:rsid w:val="009E2220"/>
    <w:rsid w:val="009E489A"/>
    <w:rsid w:val="009E5212"/>
    <w:rsid w:val="009E6C19"/>
    <w:rsid w:val="009E6E2F"/>
    <w:rsid w:val="009F0845"/>
    <w:rsid w:val="009F1EDE"/>
    <w:rsid w:val="009F20B3"/>
    <w:rsid w:val="009F2CEE"/>
    <w:rsid w:val="009F2EF1"/>
    <w:rsid w:val="009F3F1F"/>
    <w:rsid w:val="009F426B"/>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87B"/>
    <w:rsid w:val="00A06974"/>
    <w:rsid w:val="00A073B1"/>
    <w:rsid w:val="00A07888"/>
    <w:rsid w:val="00A07A81"/>
    <w:rsid w:val="00A10362"/>
    <w:rsid w:val="00A11268"/>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56"/>
    <w:rsid w:val="00A96A09"/>
    <w:rsid w:val="00AA0497"/>
    <w:rsid w:val="00AA0955"/>
    <w:rsid w:val="00AA1E6A"/>
    <w:rsid w:val="00AA2744"/>
    <w:rsid w:val="00AA3F55"/>
    <w:rsid w:val="00AA46E5"/>
    <w:rsid w:val="00AA46E6"/>
    <w:rsid w:val="00AA4E3C"/>
    <w:rsid w:val="00AA5FEE"/>
    <w:rsid w:val="00AA6624"/>
    <w:rsid w:val="00AA6E94"/>
    <w:rsid w:val="00AA7BC6"/>
    <w:rsid w:val="00AA7D6B"/>
    <w:rsid w:val="00AB03C3"/>
    <w:rsid w:val="00AB060C"/>
    <w:rsid w:val="00AB07BF"/>
    <w:rsid w:val="00AB09BC"/>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5988"/>
    <w:rsid w:val="00AC6DB3"/>
    <w:rsid w:val="00AC7B9C"/>
    <w:rsid w:val="00AD04FE"/>
    <w:rsid w:val="00AD1327"/>
    <w:rsid w:val="00AD15D0"/>
    <w:rsid w:val="00AD172C"/>
    <w:rsid w:val="00AD1F50"/>
    <w:rsid w:val="00AD457D"/>
    <w:rsid w:val="00AD4FBA"/>
    <w:rsid w:val="00AD5212"/>
    <w:rsid w:val="00AD5E4E"/>
    <w:rsid w:val="00AD6657"/>
    <w:rsid w:val="00AD6ADD"/>
    <w:rsid w:val="00AD703C"/>
    <w:rsid w:val="00AD71C5"/>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F18"/>
    <w:rsid w:val="00B853B4"/>
    <w:rsid w:val="00B85C37"/>
    <w:rsid w:val="00B85D7B"/>
    <w:rsid w:val="00B860C8"/>
    <w:rsid w:val="00B86B9B"/>
    <w:rsid w:val="00B8792F"/>
    <w:rsid w:val="00B9125F"/>
    <w:rsid w:val="00B916FF"/>
    <w:rsid w:val="00B92FFE"/>
    <w:rsid w:val="00B93BBA"/>
    <w:rsid w:val="00B94445"/>
    <w:rsid w:val="00B9493B"/>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89A"/>
    <w:rsid w:val="00BD5D53"/>
    <w:rsid w:val="00BD672B"/>
    <w:rsid w:val="00BD6ED4"/>
    <w:rsid w:val="00BE0818"/>
    <w:rsid w:val="00BE181E"/>
    <w:rsid w:val="00BE1A32"/>
    <w:rsid w:val="00BE1C3A"/>
    <w:rsid w:val="00BE23F2"/>
    <w:rsid w:val="00BE2659"/>
    <w:rsid w:val="00BE2E87"/>
    <w:rsid w:val="00BE2EC2"/>
    <w:rsid w:val="00BE38A5"/>
    <w:rsid w:val="00BE3B53"/>
    <w:rsid w:val="00BE3BC7"/>
    <w:rsid w:val="00BE4562"/>
    <w:rsid w:val="00BE5586"/>
    <w:rsid w:val="00BE5599"/>
    <w:rsid w:val="00BE725B"/>
    <w:rsid w:val="00BE7721"/>
    <w:rsid w:val="00BF094D"/>
    <w:rsid w:val="00BF0CB2"/>
    <w:rsid w:val="00BF1BF2"/>
    <w:rsid w:val="00BF1D36"/>
    <w:rsid w:val="00BF2436"/>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0B4"/>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B21"/>
    <w:rsid w:val="00C44DB8"/>
    <w:rsid w:val="00C46786"/>
    <w:rsid w:val="00C46C79"/>
    <w:rsid w:val="00C50021"/>
    <w:rsid w:val="00C50045"/>
    <w:rsid w:val="00C50267"/>
    <w:rsid w:val="00C50446"/>
    <w:rsid w:val="00C511E1"/>
    <w:rsid w:val="00C51255"/>
    <w:rsid w:val="00C52389"/>
    <w:rsid w:val="00C53013"/>
    <w:rsid w:val="00C53D02"/>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31C"/>
    <w:rsid w:val="00C675EB"/>
    <w:rsid w:val="00C676EA"/>
    <w:rsid w:val="00C700FE"/>
    <w:rsid w:val="00C72424"/>
    <w:rsid w:val="00C73E8B"/>
    <w:rsid w:val="00C74F5C"/>
    <w:rsid w:val="00C75C02"/>
    <w:rsid w:val="00C76BFE"/>
    <w:rsid w:val="00C77681"/>
    <w:rsid w:val="00C77D90"/>
    <w:rsid w:val="00C808F0"/>
    <w:rsid w:val="00C809E5"/>
    <w:rsid w:val="00C83590"/>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5307"/>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0CCE"/>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A9A"/>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D0C"/>
    <w:rsid w:val="00D2332E"/>
    <w:rsid w:val="00D24201"/>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5D82"/>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5515"/>
    <w:rsid w:val="00D45602"/>
    <w:rsid w:val="00D456BD"/>
    <w:rsid w:val="00D4581E"/>
    <w:rsid w:val="00D47412"/>
    <w:rsid w:val="00D500A7"/>
    <w:rsid w:val="00D50531"/>
    <w:rsid w:val="00D50BD5"/>
    <w:rsid w:val="00D50C10"/>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2AF8"/>
    <w:rsid w:val="00D82D85"/>
    <w:rsid w:val="00D83747"/>
    <w:rsid w:val="00D83CA4"/>
    <w:rsid w:val="00D84778"/>
    <w:rsid w:val="00D84DC4"/>
    <w:rsid w:val="00D85244"/>
    <w:rsid w:val="00D852E8"/>
    <w:rsid w:val="00D8615B"/>
    <w:rsid w:val="00D86C92"/>
    <w:rsid w:val="00D86F3B"/>
    <w:rsid w:val="00D8714F"/>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A7B99"/>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793D"/>
    <w:rsid w:val="00DC1591"/>
    <w:rsid w:val="00DC2163"/>
    <w:rsid w:val="00DC2997"/>
    <w:rsid w:val="00DC3267"/>
    <w:rsid w:val="00DC34C2"/>
    <w:rsid w:val="00DC46DA"/>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4E1E"/>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643"/>
    <w:rsid w:val="00E43709"/>
    <w:rsid w:val="00E4431D"/>
    <w:rsid w:val="00E44561"/>
    <w:rsid w:val="00E446A5"/>
    <w:rsid w:val="00E449A7"/>
    <w:rsid w:val="00E45C1A"/>
    <w:rsid w:val="00E4640D"/>
    <w:rsid w:val="00E46738"/>
    <w:rsid w:val="00E46A0A"/>
    <w:rsid w:val="00E47A32"/>
    <w:rsid w:val="00E5021D"/>
    <w:rsid w:val="00E521C7"/>
    <w:rsid w:val="00E525F8"/>
    <w:rsid w:val="00E5296C"/>
    <w:rsid w:val="00E52B34"/>
    <w:rsid w:val="00E54271"/>
    <w:rsid w:val="00E5515A"/>
    <w:rsid w:val="00E552B0"/>
    <w:rsid w:val="00E55E94"/>
    <w:rsid w:val="00E5648B"/>
    <w:rsid w:val="00E56F98"/>
    <w:rsid w:val="00E60126"/>
    <w:rsid w:val="00E61AD9"/>
    <w:rsid w:val="00E625E8"/>
    <w:rsid w:val="00E62DE9"/>
    <w:rsid w:val="00E630B7"/>
    <w:rsid w:val="00E634DA"/>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67"/>
    <w:rsid w:val="00E80258"/>
    <w:rsid w:val="00E80D56"/>
    <w:rsid w:val="00E80FD3"/>
    <w:rsid w:val="00E81137"/>
    <w:rsid w:val="00E814AF"/>
    <w:rsid w:val="00E821AE"/>
    <w:rsid w:val="00E82475"/>
    <w:rsid w:val="00E82ABA"/>
    <w:rsid w:val="00E83A86"/>
    <w:rsid w:val="00E850F3"/>
    <w:rsid w:val="00E85759"/>
    <w:rsid w:val="00E8686D"/>
    <w:rsid w:val="00E86A27"/>
    <w:rsid w:val="00E87749"/>
    <w:rsid w:val="00E87B42"/>
    <w:rsid w:val="00E87C7C"/>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4823"/>
    <w:rsid w:val="00EB5413"/>
    <w:rsid w:val="00EB548F"/>
    <w:rsid w:val="00EB54C7"/>
    <w:rsid w:val="00EB5639"/>
    <w:rsid w:val="00EB573B"/>
    <w:rsid w:val="00EB5F51"/>
    <w:rsid w:val="00EB5F73"/>
    <w:rsid w:val="00EB65B3"/>
    <w:rsid w:val="00EB66EA"/>
    <w:rsid w:val="00EB6AEB"/>
    <w:rsid w:val="00EB711D"/>
    <w:rsid w:val="00EB73F2"/>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412A"/>
    <w:rsid w:val="00F14B6C"/>
    <w:rsid w:val="00F15415"/>
    <w:rsid w:val="00F15545"/>
    <w:rsid w:val="00F16EAA"/>
    <w:rsid w:val="00F1748F"/>
    <w:rsid w:val="00F17594"/>
    <w:rsid w:val="00F17E4B"/>
    <w:rsid w:val="00F2074F"/>
    <w:rsid w:val="00F21995"/>
    <w:rsid w:val="00F21B41"/>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3F6"/>
    <w:rsid w:val="00F547CE"/>
    <w:rsid w:val="00F547DD"/>
    <w:rsid w:val="00F55113"/>
    <w:rsid w:val="00F554E0"/>
    <w:rsid w:val="00F56998"/>
    <w:rsid w:val="00F56BBE"/>
    <w:rsid w:val="00F579AF"/>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C81"/>
    <w:rsid w:val="00F760BB"/>
    <w:rsid w:val="00F76A97"/>
    <w:rsid w:val="00F77CFC"/>
    <w:rsid w:val="00F803E8"/>
    <w:rsid w:val="00F810F2"/>
    <w:rsid w:val="00F81192"/>
    <w:rsid w:val="00F81513"/>
    <w:rsid w:val="00F81D51"/>
    <w:rsid w:val="00F82083"/>
    <w:rsid w:val="00F82179"/>
    <w:rsid w:val="00F826EA"/>
    <w:rsid w:val="00F83AB3"/>
    <w:rsid w:val="00F859EC"/>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57F"/>
    <w:rsid w:val="00FE06ED"/>
    <w:rsid w:val="00FE0C63"/>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0018"/>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3BC982E7-B7A5-45DD-988E-E4A6C8937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573007561">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287666543">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864710861">
              <w:marLeft w:val="0"/>
              <w:marRight w:val="0"/>
              <w:marTop w:val="0"/>
              <w:marBottom w:val="0"/>
              <w:divBdr>
                <w:top w:val="none" w:sz="0" w:space="0" w:color="auto"/>
                <w:left w:val="none" w:sz="0" w:space="0" w:color="auto"/>
                <w:bottom w:val="none" w:sz="0" w:space="0" w:color="auto"/>
                <w:right w:val="none" w:sz="0" w:space="0" w:color="auto"/>
              </w:divBdr>
            </w:div>
            <w:div w:id="1516581089">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209492983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45097549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13012102">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2.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7757c461-07c7-44e1-99a5-77c6cc8be592"/>
    <ds:schemaRef ds:uri="eb403b6b-7b96-4fe7-afcc-b3d44ddfb7d8"/>
    <ds:schemaRef ds:uri="http://schemas.microsoft.com/sharepoint/v4"/>
  </ds:schemaRefs>
</ds:datastoreItem>
</file>

<file path=customXml/itemProps3.xml><?xml version="1.0" encoding="utf-8"?>
<ds:datastoreItem xmlns:ds="http://schemas.openxmlformats.org/officeDocument/2006/customXml" ds:itemID="{09AFB9A8-D4F0-4A90-B657-4297A75CF028}"/>
</file>

<file path=customXml/itemProps4.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909</Words>
  <Characters>5184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Cyramza 1679-A SGM 2024</vt:lpstr>
    </vt:vector>
  </TitlesOfParts>
  <Company>PCS Health Systems</Company>
  <LinksUpToDate>false</LinksUpToDate>
  <CharactersWithSpaces>6081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Cyramza SGM 1679-A</dc:title>
  <dc:subject/>
  <dc:creator>CVS Caremark</dc:creator>
  <cp:keywords/>
  <cp:lastModifiedBy>Huerta, Linda M</cp:lastModifiedBy>
  <cp:revision>3</cp:revision>
  <cp:lastPrinted>2018-01-09T05:01:00Z</cp:lastPrinted>
  <dcterms:created xsi:type="dcterms:W3CDTF">2025-04-22T18:00:00Z</dcterms:created>
  <dcterms:modified xsi:type="dcterms:W3CDTF">2025-04-22T18:01:00Z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936300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